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E890EF" w14:textId="77777777" w:rsidR="00931FD1" w:rsidRDefault="00BC2F61" w:rsidP="00931FD1">
      <w:pPr>
        <w:spacing w:line="276" w:lineRule="auto"/>
        <w:jc w:val="center"/>
        <w:rPr>
          <w:b/>
          <w:sz w:val="32"/>
          <w:szCs w:val="32"/>
        </w:rPr>
      </w:pPr>
      <w:r>
        <w:rPr>
          <w:b/>
          <w:noProof/>
          <w:sz w:val="32"/>
          <w:szCs w:val="32"/>
          <w:lang w:val="en-US"/>
        </w:rPr>
        <mc:AlternateContent>
          <mc:Choice Requires="wps">
            <w:drawing>
              <wp:anchor distT="0" distB="0" distL="114300" distR="114300" simplePos="0" relativeHeight="251658240" behindDoc="0" locked="0" layoutInCell="1" allowOverlap="1" wp14:anchorId="789E8C0C" wp14:editId="756FA377">
                <wp:simplePos x="0" y="0"/>
                <wp:positionH relativeFrom="column">
                  <wp:posOffset>7458</wp:posOffset>
                </wp:positionH>
                <wp:positionV relativeFrom="paragraph">
                  <wp:posOffset>67310</wp:posOffset>
                </wp:positionV>
                <wp:extent cx="5018567" cy="0"/>
                <wp:effectExtent l="0" t="0" r="10795" b="19050"/>
                <wp:wrapNone/>
                <wp:docPr id="2" name="Straight Connector 2"/>
                <wp:cNvGraphicFramePr/>
                <a:graphic xmlns:a="http://schemas.openxmlformats.org/drawingml/2006/main">
                  <a:graphicData uri="http://schemas.microsoft.com/office/word/2010/wordprocessingShape">
                    <wps:wsp>
                      <wps:cNvCnPr/>
                      <wps:spPr>
                        <a:xfrm>
                          <a:off x="0" y="0"/>
                          <a:ext cx="5018567"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oel="http://schemas.microsoft.com/office/2019/extlst">
            <w:pict>
              <v:line id="Straight Connector 2" o:spid="_x0000_s1025" style="mso-wrap-distance-bottom:0;mso-wrap-distance-left:9pt;mso-wrap-distance-right:9pt;mso-wrap-distance-top:0;mso-wrap-style:square;position:absolute;visibility:visible;z-index:251659264" from="0.6pt,5.3pt" to="395.75pt,5.3pt" strokecolor="black" strokeweight="1.5pt"/>
            </w:pict>
          </mc:Fallback>
        </mc:AlternateContent>
      </w:r>
    </w:p>
    <w:p w14:paraId="4E0CEEF9" w14:textId="77777777" w:rsidR="00CC50CD" w:rsidRPr="00F23B88" w:rsidRDefault="00BC2F61" w:rsidP="00CC50CD">
      <w:pPr>
        <w:jc w:val="center"/>
        <w:rPr>
          <w:b/>
          <w:sz w:val="32"/>
          <w:szCs w:val="32"/>
        </w:rPr>
      </w:pPr>
      <w:r w:rsidRPr="00B970F4">
        <w:rPr>
          <w:b/>
          <w:sz w:val="32"/>
          <w:szCs w:val="32"/>
        </w:rPr>
        <w:t>The Influence of Size, Third-Party Funds, and Dividend Policy on the Profitability of Islamic Banks in Asia</w:t>
      </w:r>
      <w:r w:rsidRPr="00F23B88">
        <w:rPr>
          <w:b/>
          <w:sz w:val="32"/>
          <w:szCs w:val="32"/>
        </w:rPr>
        <w:t xml:space="preserve"> </w:t>
      </w:r>
    </w:p>
    <w:p w14:paraId="6138B19A" w14:textId="77777777" w:rsidR="00DB1904" w:rsidRDefault="00DB1904" w:rsidP="00DB1904">
      <w:pPr>
        <w:spacing w:line="276" w:lineRule="auto"/>
        <w:jc w:val="center"/>
        <w:rPr>
          <w:b/>
          <w:bCs/>
          <w:sz w:val="32"/>
          <w:szCs w:val="24"/>
        </w:rPr>
      </w:pPr>
    </w:p>
    <w:p w14:paraId="2985B737" w14:textId="77777777" w:rsidR="00B107CB" w:rsidRDefault="00B107CB" w:rsidP="00B107CB">
      <w:pPr>
        <w:jc w:val="center"/>
        <w:rPr>
          <w:b/>
          <w:sz w:val="26"/>
          <w:szCs w:val="26"/>
        </w:rPr>
      </w:pPr>
      <w:r>
        <w:rPr>
          <w:b/>
          <w:sz w:val="26"/>
          <w:szCs w:val="26"/>
        </w:rPr>
        <w:t>Bagus Hermawan</w:t>
      </w:r>
    </w:p>
    <w:p w14:paraId="09D272D4" w14:textId="77777777" w:rsidR="00B107CB" w:rsidRDefault="00B107CB" w:rsidP="00B107CB">
      <w:pPr>
        <w:jc w:val="center"/>
        <w:rPr>
          <w:bCs/>
          <w:sz w:val="24"/>
          <w:szCs w:val="24"/>
        </w:rPr>
      </w:pPr>
      <w:bookmarkStart w:id="0" w:name="_Hlk184189801"/>
      <w:r>
        <w:rPr>
          <w:bCs/>
          <w:sz w:val="24"/>
          <w:szCs w:val="24"/>
        </w:rPr>
        <w:t>Universitas Islam Negeri Maulana Malik Ibrahim</w:t>
      </w:r>
    </w:p>
    <w:bookmarkEnd w:id="0"/>
    <w:p w14:paraId="698BEB2E" w14:textId="44F44C1D" w:rsidR="00B107CB" w:rsidRDefault="00301519" w:rsidP="00B107CB">
      <w:pPr>
        <w:jc w:val="center"/>
        <w:rPr>
          <w:bCs/>
          <w:i/>
          <w:iCs/>
          <w:sz w:val="24"/>
          <w:szCs w:val="24"/>
        </w:rPr>
      </w:pPr>
      <w:r>
        <w:rPr>
          <w:bCs/>
          <w:i/>
          <w:iCs/>
          <w:sz w:val="24"/>
          <w:szCs w:val="24"/>
        </w:rPr>
        <w:fldChar w:fldCharType="begin"/>
      </w:r>
      <w:r>
        <w:rPr>
          <w:bCs/>
          <w:i/>
          <w:iCs/>
          <w:sz w:val="24"/>
          <w:szCs w:val="24"/>
        </w:rPr>
        <w:instrText xml:space="preserve"> HYPERLINK "mailto:200503110033@student.uin-malang.ac.id" </w:instrText>
      </w:r>
      <w:r>
        <w:rPr>
          <w:bCs/>
          <w:i/>
          <w:iCs/>
          <w:sz w:val="24"/>
          <w:szCs w:val="24"/>
        </w:rPr>
        <w:fldChar w:fldCharType="separate"/>
      </w:r>
      <w:r w:rsidRPr="00650B16">
        <w:rPr>
          <w:rStyle w:val="Hyperlink"/>
          <w:bCs/>
          <w:i/>
          <w:iCs/>
          <w:sz w:val="24"/>
          <w:szCs w:val="24"/>
        </w:rPr>
        <w:t>200503110033@student.uin-malang.ac.id</w:t>
      </w:r>
      <w:r>
        <w:rPr>
          <w:bCs/>
          <w:i/>
          <w:iCs/>
          <w:sz w:val="24"/>
          <w:szCs w:val="24"/>
        </w:rPr>
        <w:fldChar w:fldCharType="end"/>
      </w:r>
    </w:p>
    <w:p w14:paraId="57025768" w14:textId="43496F95" w:rsidR="00E727F7" w:rsidRDefault="00E727F7" w:rsidP="00BC0250">
      <w:pPr>
        <w:jc w:val="center"/>
        <w:rPr>
          <w:b/>
          <w:sz w:val="26"/>
          <w:szCs w:val="26"/>
        </w:rPr>
      </w:pPr>
    </w:p>
    <w:p w14:paraId="6B73210E" w14:textId="77777777" w:rsidR="00B107CB" w:rsidRDefault="00B107CB" w:rsidP="00B107CB">
      <w:pPr>
        <w:jc w:val="center"/>
        <w:rPr>
          <w:b/>
          <w:sz w:val="26"/>
          <w:szCs w:val="26"/>
          <w:vertAlign w:val="superscript"/>
        </w:rPr>
      </w:pPr>
      <w:r>
        <w:rPr>
          <w:b/>
          <w:sz w:val="26"/>
          <w:szCs w:val="26"/>
        </w:rPr>
        <w:t>Tiara Juliana Jaya</w:t>
      </w:r>
    </w:p>
    <w:p w14:paraId="3AC809A0" w14:textId="11F27F80" w:rsidR="00B107CB" w:rsidRPr="00651FD0" w:rsidRDefault="00B107CB" w:rsidP="00B107CB">
      <w:pPr>
        <w:jc w:val="center"/>
        <w:rPr>
          <w:bCs/>
          <w:sz w:val="24"/>
          <w:szCs w:val="24"/>
          <w:lang w:val="en-US"/>
        </w:rPr>
      </w:pPr>
      <w:r>
        <w:rPr>
          <w:bCs/>
          <w:sz w:val="24"/>
          <w:szCs w:val="24"/>
        </w:rPr>
        <w:t>Universitas Islam Negeri Maulana Malik Ibrahim</w:t>
      </w:r>
      <w:r w:rsidR="00651FD0">
        <w:rPr>
          <w:bCs/>
          <w:sz w:val="24"/>
          <w:szCs w:val="24"/>
          <w:lang w:val="en-US"/>
        </w:rPr>
        <w:t>,</w:t>
      </w:r>
    </w:p>
    <w:p w14:paraId="27261C90" w14:textId="0819E647" w:rsidR="00B107CB" w:rsidRDefault="00301519" w:rsidP="00B107CB">
      <w:pPr>
        <w:jc w:val="center"/>
        <w:rPr>
          <w:bCs/>
          <w:i/>
          <w:iCs/>
          <w:sz w:val="24"/>
          <w:szCs w:val="24"/>
        </w:rPr>
      </w:pPr>
      <w:hyperlink r:id="rId8" w:history="1">
        <w:r w:rsidRPr="00650B16">
          <w:rPr>
            <w:rStyle w:val="Hyperlink"/>
            <w:bCs/>
            <w:i/>
            <w:iCs/>
            <w:sz w:val="24"/>
            <w:szCs w:val="24"/>
          </w:rPr>
          <w:t>tiarajulianajaya@uin-malang.ac.id</w:t>
        </w:r>
      </w:hyperlink>
    </w:p>
    <w:p w14:paraId="734A805E" w14:textId="77777777" w:rsidR="00B107CB" w:rsidRDefault="00B107CB" w:rsidP="00BC0250">
      <w:pPr>
        <w:jc w:val="center"/>
        <w:rPr>
          <w:b/>
          <w:sz w:val="26"/>
          <w:szCs w:val="26"/>
        </w:rPr>
      </w:pPr>
    </w:p>
    <w:p w14:paraId="5D7A7E6D" w14:textId="77777777" w:rsidR="00DB1904" w:rsidRDefault="00DB1904" w:rsidP="004D2B0E">
      <w:pPr>
        <w:spacing w:before="121"/>
        <w:contextualSpacing/>
        <w:jc w:val="center"/>
        <w:rPr>
          <w:b/>
          <w:i/>
        </w:rPr>
      </w:pPr>
    </w:p>
    <w:p w14:paraId="3F5102A0" w14:textId="77777777" w:rsidR="001C61F9" w:rsidRDefault="001C61F9" w:rsidP="004D2B0E">
      <w:pPr>
        <w:spacing w:before="121"/>
        <w:contextualSpacing/>
        <w:jc w:val="center"/>
        <w:rPr>
          <w:b/>
          <w:i/>
        </w:rPr>
      </w:pPr>
    </w:p>
    <w:p w14:paraId="21DE849A" w14:textId="77777777" w:rsidR="00DB1904" w:rsidRPr="00C70B56" w:rsidRDefault="00BC2F61" w:rsidP="00DB1904">
      <w:pPr>
        <w:spacing w:before="121" w:line="360" w:lineRule="auto"/>
        <w:jc w:val="center"/>
        <w:rPr>
          <w:b/>
          <w:iCs/>
        </w:rPr>
      </w:pPr>
      <w:r w:rsidRPr="00C70B56">
        <w:rPr>
          <w:b/>
          <w:iCs/>
        </w:rPr>
        <w:t>Abstract</w:t>
      </w:r>
    </w:p>
    <w:p w14:paraId="7091BE91" w14:textId="77777777" w:rsidR="009352E2" w:rsidRDefault="00BC2F61" w:rsidP="00DB1904">
      <w:pPr>
        <w:ind w:right="140"/>
        <w:jc w:val="both"/>
        <w:rPr>
          <w:bCs/>
          <w:iCs/>
          <w:lang w:val="en-ID"/>
        </w:rPr>
      </w:pPr>
      <w:r w:rsidRPr="00A36E8D">
        <w:rPr>
          <w:bCs/>
          <w:iCs/>
          <w:lang w:val="en-ID"/>
        </w:rPr>
        <w:t xml:space="preserve">This study aims to analyze the impact of bank size, third-party funds (TPF), and dividend policy on the profitability of Islamic banks in Asia. The study population consists of the 128 largest Islamic banks in the world that are listed and publish annual financial reports for 2019-2023. The sample includes 15 Islamic banks from 11 countries in Asia with the most significant assets. The sampling technique used is purposive sampling. The analysis method employed is panel regression, using EViews 10 software. The results indicate that bank size has a positive and significant impact on profitability, and TPF has a negative and significant impact. In contrast, dividend policy does not have a </w:t>
      </w:r>
      <w:r w:rsidR="00DD5BC2">
        <w:rPr>
          <w:bCs/>
          <w:iCs/>
          <w:lang w:val="en-ID"/>
        </w:rPr>
        <w:t>substantial</w:t>
      </w:r>
      <w:r w:rsidRPr="00A36E8D">
        <w:rPr>
          <w:bCs/>
          <w:iCs/>
          <w:lang w:val="en-ID"/>
        </w:rPr>
        <w:t xml:space="preserve"> effect on profitability. These findings provide important implications for fund management, increasing economies of scale, and resource allocation to support the sustainable growth of the Islamic banking industry in Asia.</w:t>
      </w:r>
    </w:p>
    <w:p w14:paraId="2248AA7A" w14:textId="77777777" w:rsidR="00A36E8D" w:rsidRPr="00A36E8D" w:rsidRDefault="00A36E8D" w:rsidP="00DB1904">
      <w:pPr>
        <w:ind w:right="140"/>
        <w:jc w:val="both"/>
        <w:rPr>
          <w:bCs/>
          <w:iCs/>
          <w:lang w:val="en-ID"/>
        </w:rPr>
      </w:pPr>
    </w:p>
    <w:p w14:paraId="58C0D014" w14:textId="77777777" w:rsidR="00DB1904" w:rsidRPr="00C70B56" w:rsidRDefault="00BC2F61" w:rsidP="00DB1904">
      <w:pPr>
        <w:ind w:right="140"/>
        <w:jc w:val="both"/>
        <w:rPr>
          <w:rStyle w:val="hps"/>
          <w:bCs/>
          <w:iCs/>
        </w:rPr>
      </w:pPr>
      <w:r w:rsidRPr="00C70B56">
        <w:rPr>
          <w:rStyle w:val="hps"/>
          <w:b/>
          <w:iCs/>
        </w:rPr>
        <w:t>Keywords</w:t>
      </w:r>
      <w:r w:rsidRPr="00C70B56">
        <w:rPr>
          <w:rStyle w:val="shorttext"/>
          <w:iCs/>
        </w:rPr>
        <w:t xml:space="preserve">: </w:t>
      </w:r>
      <w:r w:rsidR="00A36E8D" w:rsidRPr="00A36E8D">
        <w:rPr>
          <w:bCs/>
          <w:iCs/>
        </w:rPr>
        <w:t>bank size</w:t>
      </w:r>
      <w:r w:rsidR="00A36E8D">
        <w:rPr>
          <w:bCs/>
          <w:iCs/>
        </w:rPr>
        <w:t xml:space="preserve">; </w:t>
      </w:r>
      <w:r w:rsidR="00A36E8D" w:rsidRPr="00A36E8D">
        <w:rPr>
          <w:bCs/>
          <w:iCs/>
        </w:rPr>
        <w:t>third</w:t>
      </w:r>
      <w:r w:rsidR="00A36E8D">
        <w:rPr>
          <w:bCs/>
          <w:iCs/>
        </w:rPr>
        <w:t xml:space="preserve"> </w:t>
      </w:r>
      <w:r w:rsidR="00A36E8D" w:rsidRPr="00A36E8D">
        <w:rPr>
          <w:bCs/>
          <w:iCs/>
        </w:rPr>
        <w:t>party funds</w:t>
      </w:r>
      <w:r w:rsidR="00A36E8D">
        <w:rPr>
          <w:bCs/>
          <w:iCs/>
        </w:rPr>
        <w:t xml:space="preserve">; </w:t>
      </w:r>
      <w:r w:rsidR="00A36E8D" w:rsidRPr="00A36E8D">
        <w:rPr>
          <w:bCs/>
          <w:iCs/>
        </w:rPr>
        <w:t>dividend policy</w:t>
      </w:r>
      <w:r w:rsidR="00A36E8D">
        <w:rPr>
          <w:bCs/>
          <w:iCs/>
        </w:rPr>
        <w:t xml:space="preserve">; </w:t>
      </w:r>
      <w:r w:rsidR="00A36E8D" w:rsidRPr="00A36E8D">
        <w:rPr>
          <w:bCs/>
          <w:iCs/>
        </w:rPr>
        <w:t>profitability</w:t>
      </w:r>
    </w:p>
    <w:p w14:paraId="77FB6D39" w14:textId="77777777" w:rsidR="00DB1904" w:rsidRDefault="00DB1904" w:rsidP="004D2B0E">
      <w:pPr>
        <w:spacing w:before="122"/>
        <w:ind w:right="142"/>
        <w:contextualSpacing/>
        <w:jc w:val="center"/>
        <w:rPr>
          <w:b/>
        </w:rPr>
      </w:pPr>
    </w:p>
    <w:p w14:paraId="039A1B5F" w14:textId="77777777" w:rsidR="008114EB" w:rsidRDefault="008114EB" w:rsidP="004D2B0E">
      <w:pPr>
        <w:spacing w:before="122"/>
        <w:ind w:right="142"/>
        <w:contextualSpacing/>
        <w:jc w:val="center"/>
        <w:rPr>
          <w:b/>
        </w:rPr>
      </w:pPr>
    </w:p>
    <w:p w14:paraId="4A18C222" w14:textId="77777777" w:rsidR="00E727F7" w:rsidRDefault="00E727F7" w:rsidP="00642A10">
      <w:pPr>
        <w:jc w:val="both"/>
      </w:pPr>
    </w:p>
    <w:p w14:paraId="32DC7C27" w14:textId="77777777" w:rsidR="008114EB" w:rsidRDefault="008114EB" w:rsidP="00642A10">
      <w:pPr>
        <w:jc w:val="both"/>
      </w:pPr>
    </w:p>
    <w:p w14:paraId="4F93A9ED" w14:textId="77777777" w:rsidR="008114EB" w:rsidRDefault="008114EB" w:rsidP="00642A10">
      <w:pPr>
        <w:jc w:val="both"/>
      </w:pPr>
    </w:p>
    <w:p w14:paraId="6EEAC70E" w14:textId="77777777" w:rsidR="008114EB" w:rsidRDefault="008114EB" w:rsidP="00642A10">
      <w:pPr>
        <w:jc w:val="both"/>
      </w:pPr>
    </w:p>
    <w:p w14:paraId="3FE35BBF" w14:textId="77777777" w:rsidR="001C61F9" w:rsidRDefault="001C61F9" w:rsidP="00642A10">
      <w:pPr>
        <w:jc w:val="both"/>
      </w:pPr>
    </w:p>
    <w:p w14:paraId="10438B60" w14:textId="77777777" w:rsidR="001C61F9" w:rsidRDefault="001C61F9" w:rsidP="00642A10">
      <w:pPr>
        <w:jc w:val="both"/>
      </w:pPr>
    </w:p>
    <w:p w14:paraId="0A46A550" w14:textId="77777777" w:rsidR="001C61F9" w:rsidRDefault="001C61F9" w:rsidP="00642A10">
      <w:pPr>
        <w:jc w:val="both"/>
      </w:pPr>
    </w:p>
    <w:p w14:paraId="5340B3D2" w14:textId="77777777" w:rsidR="001C61F9" w:rsidRDefault="001C61F9" w:rsidP="00642A10">
      <w:pPr>
        <w:jc w:val="both"/>
      </w:pPr>
    </w:p>
    <w:p w14:paraId="743F5D3F" w14:textId="77777777" w:rsidR="001C61F9" w:rsidRDefault="001C61F9" w:rsidP="00642A10">
      <w:pPr>
        <w:jc w:val="both"/>
      </w:pPr>
    </w:p>
    <w:p w14:paraId="3DE9318C" w14:textId="77777777" w:rsidR="008114EB" w:rsidRDefault="008114EB" w:rsidP="00642A10">
      <w:pPr>
        <w:jc w:val="both"/>
      </w:pPr>
    </w:p>
    <w:p w14:paraId="361EA4D9" w14:textId="77777777" w:rsidR="008114EB" w:rsidRDefault="008114EB" w:rsidP="00642A10">
      <w:pPr>
        <w:jc w:val="both"/>
      </w:pPr>
    </w:p>
    <w:p w14:paraId="50A6DC44" w14:textId="77777777" w:rsidR="004D2B0E" w:rsidRDefault="004D2B0E" w:rsidP="00642A10">
      <w:pPr>
        <w:jc w:val="both"/>
        <w:rPr>
          <w:sz w:val="24"/>
          <w:szCs w:val="24"/>
        </w:rPr>
      </w:pPr>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5"/>
        <w:gridCol w:w="284"/>
        <w:gridCol w:w="5380"/>
      </w:tblGrid>
      <w:tr w:rsidR="000B5092" w14:paraId="31E815CB" w14:textId="77777777" w:rsidTr="000D2372">
        <w:tc>
          <w:tcPr>
            <w:tcW w:w="2155" w:type="dxa"/>
          </w:tcPr>
          <w:p w14:paraId="2C5D08D4" w14:textId="77777777" w:rsidR="00CC6122" w:rsidRPr="00936FA8" w:rsidRDefault="00BC2F61" w:rsidP="00D33921">
            <w:r>
              <w:t>DOI</w:t>
            </w:r>
          </w:p>
        </w:tc>
        <w:tc>
          <w:tcPr>
            <w:tcW w:w="284" w:type="dxa"/>
          </w:tcPr>
          <w:p w14:paraId="0828649E" w14:textId="77777777" w:rsidR="00CC6122" w:rsidRPr="00936FA8" w:rsidRDefault="00BC2F61" w:rsidP="00D33921">
            <w:r w:rsidRPr="00936FA8">
              <w:t>:</w:t>
            </w:r>
          </w:p>
        </w:tc>
        <w:tc>
          <w:tcPr>
            <w:tcW w:w="5380" w:type="dxa"/>
          </w:tcPr>
          <w:p w14:paraId="10A8AC56" w14:textId="77777777" w:rsidR="00CC6122" w:rsidRDefault="00BC2F61" w:rsidP="005D3398">
            <w:pPr>
              <w:rPr>
                <w:sz w:val="24"/>
                <w:szCs w:val="24"/>
              </w:rPr>
            </w:pPr>
            <w:r>
              <w:rPr>
                <w:sz w:val="24"/>
                <w:szCs w:val="24"/>
              </w:rPr>
              <w:t>http://dx.doi.org/</w:t>
            </w:r>
            <w:r w:rsidR="00A57649" w:rsidRPr="00A57649">
              <w:rPr>
                <w:shd w:val="clear" w:color="auto" w:fill="FFFFFF"/>
              </w:rPr>
              <w:t>10.32503/jmk</w:t>
            </w:r>
            <w:r w:rsidR="00A57649" w:rsidRPr="0078607D">
              <w:rPr>
                <w:shd w:val="clear" w:color="auto" w:fill="FFFFFF"/>
              </w:rPr>
              <w:t>.</w:t>
            </w:r>
          </w:p>
        </w:tc>
      </w:tr>
      <w:tr w:rsidR="000B5092" w14:paraId="41161D0C" w14:textId="77777777" w:rsidTr="000D2372">
        <w:trPr>
          <w:trHeight w:val="188"/>
        </w:trPr>
        <w:tc>
          <w:tcPr>
            <w:tcW w:w="2155" w:type="dxa"/>
          </w:tcPr>
          <w:p w14:paraId="2F98C937" w14:textId="77777777" w:rsidR="00CC6122" w:rsidRPr="00936FA8" w:rsidRDefault="00BC2F61" w:rsidP="00D33921">
            <w:r w:rsidRPr="00936FA8">
              <w:t>Arti</w:t>
            </w:r>
            <w:r w:rsidR="001C61F9">
              <w:t>cle History</w:t>
            </w:r>
          </w:p>
        </w:tc>
        <w:tc>
          <w:tcPr>
            <w:tcW w:w="284" w:type="dxa"/>
          </w:tcPr>
          <w:p w14:paraId="136C0CDD" w14:textId="77777777" w:rsidR="00CC6122" w:rsidRPr="00936FA8" w:rsidRDefault="00BC2F61" w:rsidP="00D33921">
            <w:r w:rsidRPr="00936FA8">
              <w:t>:</w:t>
            </w:r>
          </w:p>
        </w:tc>
        <w:tc>
          <w:tcPr>
            <w:tcW w:w="5380" w:type="dxa"/>
          </w:tcPr>
          <w:p w14:paraId="33363182" w14:textId="019984C0" w:rsidR="00CC6122" w:rsidRPr="00984007" w:rsidRDefault="00BC2F61" w:rsidP="00B85B28">
            <w:r>
              <w:t>Arti</w:t>
            </w:r>
            <w:r w:rsidR="001C61F9">
              <w:t>cle received</w:t>
            </w:r>
            <w:r>
              <w:t xml:space="preserve"> (</w:t>
            </w:r>
            <w:r w:rsidR="00587B55">
              <w:rPr>
                <w:lang w:val="en-US"/>
              </w:rPr>
              <w:t>4 Dec 2024</w:t>
            </w:r>
            <w:r>
              <w:t>); revis</w:t>
            </w:r>
            <w:r w:rsidR="001C61F9">
              <w:t>ed</w:t>
            </w:r>
            <w:r>
              <w:t xml:space="preserve"> (</w:t>
            </w:r>
            <w:r w:rsidR="00664B0A">
              <w:rPr>
                <w:lang w:val="en-US"/>
              </w:rPr>
              <w:t>24 Dec 2024</w:t>
            </w:r>
            <w:r>
              <w:t xml:space="preserve">); </w:t>
            </w:r>
            <w:r w:rsidR="001C61F9">
              <w:t>accepted</w:t>
            </w:r>
            <w:r>
              <w:t xml:space="preserve"> (</w:t>
            </w:r>
            <w:r w:rsidR="000949E1">
              <w:rPr>
                <w:lang w:val="en-US"/>
              </w:rPr>
              <w:t>17 Feb</w:t>
            </w:r>
            <w:r w:rsidR="00587B55">
              <w:rPr>
                <w:lang w:val="en-US"/>
              </w:rPr>
              <w:t xml:space="preserve"> 2025</w:t>
            </w:r>
            <w:r>
              <w:t>)</w:t>
            </w:r>
          </w:p>
        </w:tc>
      </w:tr>
      <w:tr w:rsidR="000B5092" w14:paraId="51A297DA" w14:textId="77777777" w:rsidTr="000D2372">
        <w:trPr>
          <w:trHeight w:val="209"/>
        </w:trPr>
        <w:tc>
          <w:tcPr>
            <w:tcW w:w="2155" w:type="dxa"/>
          </w:tcPr>
          <w:p w14:paraId="08652084" w14:textId="77777777" w:rsidR="008114EB" w:rsidRPr="00FC746C" w:rsidRDefault="00BC2F61" w:rsidP="00D33921">
            <w:pPr>
              <w:rPr>
                <w:lang w:val="en-US"/>
              </w:rPr>
            </w:pPr>
            <w:r>
              <w:t>Email Co-Autho</w:t>
            </w:r>
            <w:r w:rsidR="007C1B52">
              <w:t>r</w:t>
            </w:r>
          </w:p>
        </w:tc>
        <w:tc>
          <w:tcPr>
            <w:tcW w:w="284" w:type="dxa"/>
          </w:tcPr>
          <w:p w14:paraId="2A9D228C" w14:textId="77777777" w:rsidR="008114EB" w:rsidRPr="00936FA8" w:rsidRDefault="00BC2F61" w:rsidP="00D33921">
            <w:r>
              <w:t>:</w:t>
            </w:r>
          </w:p>
        </w:tc>
        <w:tc>
          <w:tcPr>
            <w:tcW w:w="5380" w:type="dxa"/>
          </w:tcPr>
          <w:p w14:paraId="69433058" w14:textId="77777777" w:rsidR="008114EB" w:rsidRPr="007C1B52" w:rsidRDefault="00BC2F61" w:rsidP="00B85B28">
            <w:pPr>
              <w:rPr>
                <w:bCs/>
                <w:i/>
                <w:iCs/>
              </w:rPr>
            </w:pPr>
            <w:r w:rsidRPr="007C1B52">
              <w:rPr>
                <w:bCs/>
                <w:i/>
                <w:iCs/>
              </w:rPr>
              <w:t>200503110033@student.uin-malang.ac.id</w:t>
            </w:r>
          </w:p>
        </w:tc>
      </w:tr>
    </w:tbl>
    <w:p w14:paraId="65A87802" w14:textId="77777777" w:rsidR="00CC6122" w:rsidRDefault="00BC2F61" w:rsidP="00C30F1F">
      <w:pPr>
        <w:pStyle w:val="ListParagraph"/>
        <w:spacing w:line="240" w:lineRule="auto"/>
        <w:ind w:left="0"/>
        <w:rPr>
          <w:rFonts w:ascii="Times New Roman" w:hAnsi="Times New Roman" w:cs="Times New Roman"/>
          <w:b/>
          <w:color w:val="000000" w:themeColor="text1"/>
          <w:sz w:val="24"/>
          <w:szCs w:val="24"/>
        </w:rPr>
        <w:sectPr w:rsidR="00CC6122" w:rsidSect="00301519">
          <w:headerReference w:type="even" r:id="rId9"/>
          <w:headerReference w:type="default" r:id="rId10"/>
          <w:footerReference w:type="default" r:id="rId11"/>
          <w:headerReference w:type="first" r:id="rId12"/>
          <w:footerReference w:type="first" r:id="rId13"/>
          <w:type w:val="oddPage"/>
          <w:pgSz w:w="11906" w:h="16838" w:code="9"/>
          <w:pgMar w:top="1701" w:right="1701" w:bottom="1701" w:left="2268" w:header="709" w:footer="851" w:gutter="0"/>
          <w:pgNumType w:start="13"/>
          <w:cols w:space="565"/>
          <w:titlePg/>
          <w:docGrid w:linePitch="360"/>
        </w:sectPr>
      </w:pPr>
      <w:r>
        <w:rPr>
          <w:rFonts w:ascii="Times New Roman" w:hAnsi="Times New Roman" w:cs="Times New Roman"/>
          <w:b/>
          <w:noProof/>
          <w:color w:val="000000" w:themeColor="text1"/>
          <w:sz w:val="24"/>
          <w:szCs w:val="24"/>
          <w:lang w:val="en-US"/>
        </w:rPr>
        <w:drawing>
          <wp:anchor distT="0" distB="0" distL="114300" distR="114300" simplePos="0" relativeHeight="251660288" behindDoc="0" locked="0" layoutInCell="1" allowOverlap="1" wp14:anchorId="56DEF6DA" wp14:editId="42B0F551">
            <wp:simplePos x="0" y="0"/>
            <wp:positionH relativeFrom="column">
              <wp:posOffset>139065</wp:posOffset>
            </wp:positionH>
            <wp:positionV relativeFrom="paragraph">
              <wp:posOffset>43700</wp:posOffset>
            </wp:positionV>
            <wp:extent cx="2620934" cy="291701"/>
            <wp:effectExtent l="0" t="0" r="0" b="0"/>
            <wp:wrapNone/>
            <wp:docPr id="11987907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790781"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620934" cy="291701"/>
                    </a:xfrm>
                    <a:prstGeom prst="rect">
                      <a:avLst/>
                    </a:prstGeom>
                    <a:noFill/>
                  </pic:spPr>
                </pic:pic>
              </a:graphicData>
            </a:graphic>
          </wp:anchor>
        </w:drawing>
      </w:r>
    </w:p>
    <w:p w14:paraId="0B10E190" w14:textId="77777777" w:rsidR="001C61F9" w:rsidRDefault="00BC2F61" w:rsidP="001C61F9">
      <w:pPr>
        <w:pStyle w:val="ListParagraph"/>
        <w:spacing w:line="240" w:lineRule="auto"/>
        <w:ind w:left="0"/>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Introductio</w:t>
      </w:r>
      <w:r w:rsidR="00DD5BC2">
        <w:rPr>
          <w:rFonts w:ascii="Times New Roman" w:hAnsi="Times New Roman" w:cs="Times New Roman"/>
          <w:b/>
          <w:color w:val="000000" w:themeColor="text1"/>
          <w:sz w:val="28"/>
          <w:szCs w:val="28"/>
        </w:rPr>
        <w:t>n</w:t>
      </w:r>
    </w:p>
    <w:p w14:paraId="21A9F5F4" w14:textId="24DA0DB6" w:rsidR="001C61F9" w:rsidRDefault="00BC2F61" w:rsidP="001C61F9">
      <w:pPr>
        <w:pStyle w:val="ListParagraph"/>
        <w:spacing w:line="240" w:lineRule="auto"/>
        <w:ind w:left="0" w:firstLine="567"/>
        <w:jc w:val="both"/>
        <w:rPr>
          <w:rFonts w:ascii="Times New Roman" w:hAnsi="Times New Roman" w:cs="Times New Roman"/>
          <w:bCs/>
          <w:sz w:val="24"/>
          <w:szCs w:val="24"/>
        </w:rPr>
      </w:pPr>
      <w:r w:rsidRPr="0098769F">
        <w:rPr>
          <w:rFonts w:ascii="Times New Roman" w:hAnsi="Times New Roman" w:cs="Times New Roman"/>
          <w:bCs/>
          <w:sz w:val="24"/>
          <w:szCs w:val="24"/>
        </w:rPr>
        <w:t>The Islamic banking industry in Asia has experienced significant growth over the past few decades. Countries such as Malaysia, Indonesia, and the United Arab Emirates have become key hubs for the development of this sector. The increase in total assets, which will reach nearly $700 billion in Saudi Arabia by 2022, reflects the rising demand for financial products and services that comply with Shariah principles</w:t>
      </w:r>
      <w:r w:rsidR="00CC7019">
        <w:rPr>
          <w:rFonts w:ascii="Times New Roman" w:hAnsi="Times New Roman" w:cs="Times New Roman"/>
          <w:bCs/>
          <w:sz w:val="24"/>
          <w:szCs w:val="24"/>
        </w:rPr>
        <w:t>.</w:t>
      </w:r>
      <w:r>
        <w:rPr>
          <w:rFonts w:ascii="Times New Roman" w:hAnsi="Times New Roman" w:cs="Times New Roman"/>
          <w:bCs/>
          <w:sz w:val="24"/>
          <w:szCs w:val="24"/>
        </w:rPr>
        <w:t xml:space="preserve"> </w:t>
      </w:r>
      <w:r w:rsidR="00AA68DC" w:rsidRPr="00461C8E">
        <w:rPr>
          <w:rFonts w:ascii="Times New Roman" w:hAnsi="Times New Roman" w:cs="Times New Roman"/>
          <w:sz w:val="24"/>
        </w:rPr>
        <w:fldChar w:fldCharType="begin" w:fldLock="1"/>
      </w:r>
      <w:r w:rsidR="0014663C">
        <w:rPr>
          <w:rFonts w:ascii="Times New Roman" w:hAnsi="Times New Roman" w:cs="Times New Roman"/>
          <w:sz w:val="24"/>
        </w:rPr>
        <w:instrText>ADDIN CSL_CITATION {"citationItems":[{"id":"ITEM-1","itemData":{"abstract":"93 Islamic Banking 96 Takaful 98 Regulatory and Supervisory Framework 99 Talent Development 102 Regional and International Interlinkages","author":[{"dropping-particle":"","family":"Islamic finance development report","given":"","non-dropping-particle":"","parse-names":false,"suffix":""}],"container-title":"Refinitiv: An LSEG Business","id":"ITEM-1","issued":{"date-parts":[["2021"]]},"page":"78","title":"Islamic finance development report 2021: Advancing economies","type":"article-journal"},"uris":["http://www.mendeley.com/documents/?uuid=3681fae8-cca0-4be0-a1bf-a9c29f3e2adb","http://www.mendeley.com/documents/?uuid=0bcae031-a66f-4f81-96a6-0ab63bf9942b"]}],"mendeley":{"formattedCitation":"(Islamic finance development report, 2021)","manualFormatting":"(IFDP, 2021","plainTextFormattedCitation":"(Islamic finance development report, 2021)","previouslyFormattedCitation":"(Islamic finance development report, 2021)"},"properties":{"noteIndex":0},"schema":"https://github.com/citation-style-language/schema/raw/master/csl-citation.json"}</w:instrText>
      </w:r>
      <w:r w:rsidR="00AA68DC" w:rsidRPr="00461C8E">
        <w:rPr>
          <w:rFonts w:ascii="Times New Roman" w:hAnsi="Times New Roman" w:cs="Times New Roman"/>
          <w:sz w:val="24"/>
        </w:rPr>
        <w:fldChar w:fldCharType="separate"/>
      </w:r>
      <w:r w:rsidR="00AA68DC" w:rsidRPr="00461C8E">
        <w:rPr>
          <w:rFonts w:ascii="Times New Roman" w:hAnsi="Times New Roman" w:cs="Times New Roman"/>
          <w:noProof/>
          <w:sz w:val="24"/>
        </w:rPr>
        <w:t>(IFDP, 2021</w:t>
      </w:r>
      <w:r w:rsidR="00AA68DC" w:rsidRPr="00461C8E">
        <w:rPr>
          <w:rFonts w:ascii="Times New Roman" w:hAnsi="Times New Roman" w:cs="Times New Roman"/>
          <w:sz w:val="24"/>
        </w:rPr>
        <w:fldChar w:fldCharType="end"/>
      </w:r>
      <w:r w:rsidR="00AA68DC">
        <w:rPr>
          <w:rFonts w:ascii="Times New Roman" w:hAnsi="Times New Roman" w:cs="Times New Roman"/>
          <w:sz w:val="24"/>
        </w:rPr>
        <w:t xml:space="preserve">; </w:t>
      </w:r>
      <w:r w:rsidR="00AA68DC" w:rsidRPr="00461C8E">
        <w:rPr>
          <w:rFonts w:ascii="Times New Roman" w:hAnsi="Times New Roman" w:cs="Times New Roman"/>
          <w:sz w:val="24"/>
        </w:rPr>
        <w:fldChar w:fldCharType="begin" w:fldLock="1"/>
      </w:r>
      <w:r w:rsidR="0014663C">
        <w:rPr>
          <w:rFonts w:ascii="Times New Roman" w:hAnsi="Times New Roman" w:cs="Times New Roman"/>
          <w:sz w:val="24"/>
        </w:rPr>
        <w:instrText>ADDIN CSL_CITATION {"citationItems":[{"id":"ITEM-1","itemData":{"DOI":"10.29040/jiei.v8i3.6408","ISSN":"2477-6157","abstract":"Industrial revolution 4.0 brings various kinds of changes in the order of people's lives. The \r changes felt in the current digital era have affected several aspects, including the financial \r industry in Islamic banking. The purpose of this study is to determine the strategy of the Islamic \r banking industry in facing the digital era. Data analysis using descriptive qualitative. The \r results of the study indicate that the strategy of the Islamic banking industry in facing the digital \r era can be done by providing a form of good service and attention to customers. In addition to \r various services that make it easier for customers, such as Internet Banking, various other \r services can help. Second, phone banking is an important tool for engaging with constituents. \r Third, there is a way to go to the bank using text messages. Fourth, is the presence of mobile \r banking services, in this case, banks can cooperate with other cellular network operators, so \r that a SIM card (cellular chip card) and Global for Mobile Communications (GSM) are \r installed with a special program to be able to conduct banking transactions, thus making all \r activities customer transaction operations are much easier, more practical and safer.\r Keywords : Strategy, Digital era, Digital Banking.","author":[{"dropping-particle":"","family":"Tartila","given":"Muzayyana","non-dropping-particle":"","parse-names":false,"suffix":""}],"container-title":"Jurnal Ilmiah Ekonomi Islam","id":"ITEM-1","issue":"3","issued":{"date-parts":[["2022"]]},"page":"3310","title":"Strategi Industri Perbankan Syariah dalam Menghadapi Era Digital","type":"article-journal","volume":"8"},"uris":["http://www.mendeley.com/documents/?uuid=a00c5f32-b400-4af9-9c55-1096f4681778","http://www.mendeley.com/documents/?uuid=1c2f9cce-62ec-4a2c-a099-9c50143c72ec"]}],"mendeley":{"formattedCitation":"(Tartila, 2022)","manualFormatting":"Tartila, 2022)","plainTextFormattedCitation":"(Tartila, 2022)","previouslyFormattedCitation":"(Tartila, 2022)"},"properties":{"noteIndex":0},"schema":"https://github.com/citation-style-language/schema/raw/master/csl-citation.json"}</w:instrText>
      </w:r>
      <w:r w:rsidR="00AA68DC" w:rsidRPr="00461C8E">
        <w:rPr>
          <w:rFonts w:ascii="Times New Roman" w:hAnsi="Times New Roman" w:cs="Times New Roman"/>
          <w:sz w:val="24"/>
        </w:rPr>
        <w:fldChar w:fldCharType="separate"/>
      </w:r>
      <w:r w:rsidR="00AA68DC" w:rsidRPr="00461C8E">
        <w:rPr>
          <w:rFonts w:ascii="Times New Roman" w:hAnsi="Times New Roman" w:cs="Times New Roman"/>
          <w:noProof/>
          <w:sz w:val="24"/>
        </w:rPr>
        <w:t>Tartila, 2022)</w:t>
      </w:r>
      <w:r w:rsidR="00AA68DC" w:rsidRPr="00461C8E">
        <w:rPr>
          <w:rFonts w:ascii="Times New Roman" w:hAnsi="Times New Roman" w:cs="Times New Roman"/>
          <w:sz w:val="24"/>
        </w:rPr>
        <w:fldChar w:fldCharType="end"/>
      </w:r>
      <w:r w:rsidR="00BB2513" w:rsidRPr="00BB2513">
        <w:rPr>
          <w:rFonts w:ascii="Times New Roman" w:hAnsi="Times New Roman" w:cs="Times New Roman"/>
          <w:bCs/>
          <w:sz w:val="24"/>
          <w:szCs w:val="24"/>
        </w:rPr>
        <w:t xml:space="preserve">. </w:t>
      </w:r>
      <w:r w:rsidRPr="0098769F">
        <w:rPr>
          <w:rFonts w:ascii="Times New Roman" w:hAnsi="Times New Roman" w:cs="Times New Roman"/>
          <w:bCs/>
          <w:sz w:val="24"/>
          <w:szCs w:val="24"/>
        </w:rPr>
        <w:t>This growth has been driven by factors such as the increasing Muslim population, heightened awareness of Shariah financial literacy, and supportive government policies</w:t>
      </w:r>
      <w:r w:rsidR="00BB2513" w:rsidRPr="00BB2513">
        <w:rPr>
          <w:rFonts w:ascii="Times New Roman" w:hAnsi="Times New Roman" w:cs="Times New Roman"/>
          <w:bCs/>
          <w:sz w:val="24"/>
          <w:szCs w:val="24"/>
        </w:rPr>
        <w:t xml:space="preserve"> </w:t>
      </w:r>
      <w:r w:rsidR="00AA68DC" w:rsidRPr="00461C8E">
        <w:rPr>
          <w:rFonts w:ascii="Times New Roman" w:hAnsi="Times New Roman" w:cs="Times New Roman"/>
          <w:sz w:val="24"/>
        </w:rPr>
        <w:fldChar w:fldCharType="begin" w:fldLock="1"/>
      </w:r>
      <w:r w:rsidR="0014663C">
        <w:rPr>
          <w:rFonts w:ascii="Times New Roman" w:hAnsi="Times New Roman" w:cs="Times New Roman"/>
          <w:sz w:val="24"/>
        </w:rPr>
        <w:instrText>ADDIN CSL_CITATION {"citationItems":[{"id":"ITEM-1","itemData":{"DOI":"10.22219/jes.v4i1.8700","ISSN":"2502-3918","abstract":"The development of Islamic Banking in Southeast Asia is growing rapidly. Statistical data shows that Southeast Asia has become one of the centers for the development of the global Islamic finance industry. Literally, Indonesia and Malaysia is two countries in the region that have become dynamos for the development of the Islamic banking industry in ASEAN countries, this condition has encouraged other countries to be discussed in the development of the Islamic banking industry. The method of this paper is historical approach, which documentary methods in data collection techniques by analyzing documents that are relevant to the research topic. The conclusion of this study is that significant developments still occur in two countries, namely Malaysia and Indonesia, whereas in some countries such as Thailand, Singapore and the Philippines the development of Islamic banking is still minimal.","author":[{"dropping-particle":"","family":"Ghozali","given":"Mohammad","non-dropping-particle":"","parse-names":false,"suffix":""},{"dropping-particle":"","family":"Azmi","given":"Muhammad Ulul","non-dropping-particle":"","parse-names":false,"suffix":""},{"dropping-particle":"","family":"Nugroho","given":"Wahyu","non-dropping-particle":"","parse-names":false,"suffix":""}],"container-title":"Falah: Jurnal Ekonomi Syariah","id":"ITEM-1","issue":"1","issued":{"date-parts":[["2019"]]},"page":"44","title":"Perkembangan Bank Syariah Di Asia Tenggara: Sebuah Kajian Historis","type":"article-journal","volume":"4"},"uris":["http://www.mendeley.com/documents/?uuid=092ad904-a010-4d04-97b7-ffa56d83284d","http://www.mendeley.com/documents/?uuid=69b0f1da-392b-48c1-b750-5e48c28bfc13"]}],"mendeley":{"formattedCitation":"(Ghozali, Azmi, and Nugroho, 2019)","plainTextFormattedCitation":"(Ghozali, Azmi, and Nugroho, 2019)","previouslyFormattedCitation":"(Ghozali, Azmi, and Nugroho, 2019)"},"properties":{"noteIndex":0},"schema":"https://github.com/citation-style-language/schema/raw/master/csl-citation.json"}</w:instrText>
      </w:r>
      <w:r w:rsidR="00AA68DC" w:rsidRPr="00461C8E">
        <w:rPr>
          <w:rFonts w:ascii="Times New Roman" w:hAnsi="Times New Roman" w:cs="Times New Roman"/>
          <w:sz w:val="24"/>
        </w:rPr>
        <w:fldChar w:fldCharType="separate"/>
      </w:r>
      <w:r w:rsidR="0014663C" w:rsidRPr="0014663C">
        <w:rPr>
          <w:rFonts w:ascii="Times New Roman" w:hAnsi="Times New Roman" w:cs="Times New Roman"/>
          <w:noProof/>
          <w:sz w:val="24"/>
        </w:rPr>
        <w:t>(Ghozali et al., 2019)</w:t>
      </w:r>
      <w:r w:rsidR="00AA68DC" w:rsidRPr="00461C8E">
        <w:rPr>
          <w:rFonts w:ascii="Times New Roman" w:hAnsi="Times New Roman" w:cs="Times New Roman"/>
          <w:sz w:val="24"/>
        </w:rPr>
        <w:fldChar w:fldCharType="end"/>
      </w:r>
      <w:r w:rsidR="00BB2513" w:rsidRPr="00BB2513">
        <w:rPr>
          <w:rFonts w:ascii="Times New Roman" w:hAnsi="Times New Roman" w:cs="Times New Roman"/>
          <w:bCs/>
          <w:sz w:val="24"/>
          <w:szCs w:val="24"/>
        </w:rPr>
        <w:t>.</w:t>
      </w:r>
    </w:p>
    <w:p w14:paraId="104D64AA" w14:textId="56D5BFAD" w:rsidR="001C61F9" w:rsidRDefault="00BC2F61" w:rsidP="001C61F9">
      <w:pPr>
        <w:pStyle w:val="ListParagraph"/>
        <w:spacing w:line="240" w:lineRule="auto"/>
        <w:ind w:left="0" w:firstLine="567"/>
        <w:jc w:val="both"/>
        <w:rPr>
          <w:rFonts w:ascii="Times New Roman" w:hAnsi="Times New Roman" w:cs="Times New Roman"/>
          <w:bCs/>
          <w:sz w:val="24"/>
          <w:szCs w:val="24"/>
        </w:rPr>
      </w:pPr>
      <w:r w:rsidRPr="0098769F">
        <w:rPr>
          <w:rFonts w:ascii="Times New Roman" w:hAnsi="Times New Roman" w:cs="Times New Roman"/>
          <w:bCs/>
          <w:sz w:val="24"/>
          <w:szCs w:val="24"/>
        </w:rPr>
        <w:t xml:space="preserve">In addition, advancements in digital technology have spurred a transformation in financial services, with Islamic banks expanding their adoption of digital services and innovative business models </w:t>
      </w:r>
      <w:r w:rsidR="00AA68DC" w:rsidRPr="00461C8E">
        <w:rPr>
          <w:rFonts w:ascii="Times New Roman" w:hAnsi="Times New Roman" w:cs="Times New Roman"/>
          <w:sz w:val="24"/>
        </w:rPr>
        <w:fldChar w:fldCharType="begin" w:fldLock="1"/>
      </w:r>
      <w:r w:rsidR="0014663C">
        <w:rPr>
          <w:rFonts w:ascii="Times New Roman" w:hAnsi="Times New Roman" w:cs="Times New Roman"/>
          <w:sz w:val="24"/>
        </w:rPr>
        <w:instrText>ADDIN CSL_CITATION {"citationItems":[{"id":"ITEM-1","itemData":{"abstract":"The development of sharia banking in Indonesia has advances in information technology (IT) which have brought significant changes in the way sharia banks offer their products and services. This research discusses sharia banking in Indonesia. This research uses a qualitative study using a liberal research approach by looking for reliable information from written sources, such as books, journals and websites. In the results of this research, E-Banking not only provides comfort but also convenience because the menus on internet banking can be used without having to have special skills, and is safe because internet banking is equipped with a layered security system and is equipped with a token (a tool that issues password numbers). which always changes every time you make a financial transaction). Internet Banking services have many features and provide convenience, comfort and security so that sharia banking services can run easily and efficiently with qualified bank security services, smooth and easy e-banking services are obtained by customers who use e-banking products, in Islamic transactions contain sharia contracts that are applied in the sharia financial institution industry such as: Murabahah Mudharabah, Mudharabah Muqayyadah, Wadiah, Musyarokah, Musyarakah Mutanaqisah, Salam, Istishna, Ijarah, Ijarah Muntahiyah bit Tamlik, Wakalah, Kafalah, hawalah, Rahn, Qordh.","author":[{"dropping-particle":"","family":"Islamiah","given":"Ifa Nurul","non-dropping-particle":"","parse-names":false,"suffix":""},{"dropping-particle":"","family":"Nurnasrina","given":"","non-dropping-particle":"","parse-names":false,"suffix":""},{"dropping-particle":"","family":"Salman","given":"Nola Fibriyani Bte","non-dropping-particle":"","parse-names":false,"suffix":""},{"dropping-particle":"","family":"Huda","given":"Nurul","non-dropping-particle":"","parse-names":false,"suffix":""}],"container-title":"Sharing: Journal Of Islamic Economics, Management, and Business","id":"ITEM-1","issue":"1","issued":{"date-parts":[["2024"]]},"page":"91-104","title":"Transformasi Digital Pada Perbankan Syariah Indonesia: Produk IT Dan Jenis Transaksi","type":"article-journal","volume":"3"},"uris":["http://www.mendeley.com/documents/?uuid=3bd43d62-d62a-437d-aa19-064d06a586b6","http://www.mendeley.com/documents/?uuid=104d8056-d11c-4b85-875f-77179dadd81c"]}],"mendeley":{"formattedCitation":"(Islamiah, Nurnasrina, Salman, and Huda, 2024)","plainTextFormattedCitation":"(Islamiah, Nurnasrina, Salman, and Huda, 2024)","previouslyFormattedCitation":"(Islamiah, Nurnasrina, Salman, and Huda, 2024)"},"properties":{"noteIndex":0},"schema":"https://github.com/citation-style-language/schema/raw/master/csl-citation.json"}</w:instrText>
      </w:r>
      <w:r w:rsidR="00AA68DC" w:rsidRPr="00461C8E">
        <w:rPr>
          <w:rFonts w:ascii="Times New Roman" w:hAnsi="Times New Roman" w:cs="Times New Roman"/>
          <w:sz w:val="24"/>
        </w:rPr>
        <w:fldChar w:fldCharType="separate"/>
      </w:r>
      <w:r w:rsidR="0014663C" w:rsidRPr="0014663C">
        <w:rPr>
          <w:rFonts w:ascii="Times New Roman" w:hAnsi="Times New Roman" w:cs="Times New Roman"/>
          <w:noProof/>
          <w:sz w:val="24"/>
        </w:rPr>
        <w:t>(Islamiah et al., 2024)</w:t>
      </w:r>
      <w:r w:rsidR="00AA68DC" w:rsidRPr="00461C8E">
        <w:rPr>
          <w:rFonts w:ascii="Times New Roman" w:hAnsi="Times New Roman" w:cs="Times New Roman"/>
          <w:sz w:val="24"/>
        </w:rPr>
        <w:fldChar w:fldCharType="end"/>
      </w:r>
      <w:r w:rsidR="00BB2513" w:rsidRPr="00BB2513">
        <w:rPr>
          <w:rFonts w:ascii="Times New Roman" w:hAnsi="Times New Roman" w:cs="Times New Roman"/>
          <w:bCs/>
          <w:sz w:val="24"/>
          <w:szCs w:val="24"/>
        </w:rPr>
        <w:t xml:space="preserve">. </w:t>
      </w:r>
      <w:r w:rsidRPr="0098769F">
        <w:rPr>
          <w:rFonts w:ascii="Times New Roman" w:hAnsi="Times New Roman" w:cs="Times New Roman"/>
          <w:bCs/>
          <w:sz w:val="24"/>
          <w:szCs w:val="24"/>
        </w:rPr>
        <w:t>This trend presents significant opportunities but also demands a deeper understanding of the factors influencing the profitability of Islamic banks in Asia.</w:t>
      </w:r>
    </w:p>
    <w:p w14:paraId="041B8B21" w14:textId="37A7C8E7" w:rsidR="00BB2513" w:rsidRDefault="00BC2F61" w:rsidP="001C61F9">
      <w:pPr>
        <w:pStyle w:val="ListParagraph"/>
        <w:spacing w:line="240" w:lineRule="auto"/>
        <w:ind w:left="0" w:firstLine="567"/>
        <w:jc w:val="both"/>
        <w:rPr>
          <w:rFonts w:ascii="Times New Roman" w:hAnsi="Times New Roman" w:cs="Times New Roman"/>
          <w:bCs/>
          <w:sz w:val="24"/>
          <w:szCs w:val="24"/>
        </w:rPr>
      </w:pPr>
      <w:r w:rsidRPr="006C387E">
        <w:rPr>
          <w:rFonts w:ascii="Times New Roman" w:hAnsi="Times New Roman" w:cs="Times New Roman"/>
          <w:bCs/>
          <w:sz w:val="24"/>
          <w:szCs w:val="24"/>
        </w:rPr>
        <w:t>Previous research has identified several factors influencing bank profitability, including bank size, third-party funds, and dividend policy</w:t>
      </w:r>
      <w:r>
        <w:rPr>
          <w:rFonts w:ascii="Times New Roman" w:hAnsi="Times New Roman" w:cs="Times New Roman"/>
          <w:bCs/>
          <w:sz w:val="24"/>
          <w:szCs w:val="24"/>
        </w:rPr>
        <w:t xml:space="preserve"> </w:t>
      </w:r>
      <w:r w:rsidRPr="00461C8E">
        <w:rPr>
          <w:rFonts w:ascii="Times New Roman" w:hAnsi="Times New Roman" w:cs="Times New Roman"/>
          <w:sz w:val="24"/>
        </w:rPr>
        <w:fldChar w:fldCharType="begin" w:fldLock="1"/>
      </w:r>
      <w:r w:rsidR="0014663C">
        <w:rPr>
          <w:rFonts w:ascii="Times New Roman" w:hAnsi="Times New Roman" w:cs="Times New Roman"/>
          <w:sz w:val="24"/>
        </w:rPr>
        <w:instrText>ADDIN CSL_CITATION {"citationItems":[{"id":"ITEM-1","itemData":{"abstract":"Penelitian ini bertujuan untuk meneliti faktor-faktor yang mempengaruhi dana pihak ketiga dan dampaknya terhadap Profitabilitas (ROA) survey pada BPR Syariah di Jawa Barat tahun 2014 – 2017. Pengumpulan data dilakukan dengan pengambilan data sekunder berupa laporan keuangan tahunan 14 BPR Syariah yang berada di Jawa Barat periode 2014 – 2017 dimana laporan keuangan dibuat data panel dan diolah dengan software Eviews 10. Metode analisis yang digunakan adalah analisis deksriptif. Analisis data meliputi uji asumsi klasik, analisis regresi, serta pengujian hipotesis secara parsial dan simultan. Hasil penelitian ini menunjukan bahwa (1) Financing to Deposit Ratio terhadap Dana Pihak Ketiga tidak berpengaruh signifikan, (2) Capital Adequacy Ratio terhadap Dana Pihak Ketiga tidak berpengaruh signifikan, (3) Non Performing Financing terhadap Dana Pihak Ketiga tidak berpengaruh signifikan, (4) BOPO terhadap Dana Pihak Ketiga berpengaruh signifikan, (5) Financing to Deposit Ratio, Capital Adequacy Ratio, Non Performing Financing dan BOPO secara simultan berpengaruh terhadap Dana Pihak Ketiga dengan tingkat signifikansi Prob. F (Statistic) 0.014997, dan (6) Dana Pihak Ketiga terhadap Profitabilitas(ROA) berpengaruh signifikan. Kata","author":[{"dropping-particle":"","family":"Hidayat","given":"Arif","non-dropping-particle":"","parse-names":false,"suffix":""},{"dropping-particle":"","family":"Sunarsi","given":"Denok","non-dropping-particle":"","parse-names":false,"suffix":""}],"container-title":"Jurnal Proaksi","id":"ITEM-1","issued":{"date-parts":[["2020"]]},"page":"1-12","title":"Faktor-Faktor Yang Mempengaruhi Dana Pihak Ketiga Dan Dampaknya Terhadap Profitabilitas","type":"article-journal","volume":"1"},"uris":["http://www.mendeley.com/documents/?uuid=e7a07325-5f7b-4f53-b497-368a38f2ac6f","http://www.mendeley.com/documents/?uuid=05e7e77e-89cd-49c7-81df-d6bfdef5a7be"]}],"mendeley":{"formattedCitation":"(Hidayat and Sunarsi, 2020)","plainTextFormattedCitation":"(Hidayat and Sunarsi, 2020)","previouslyFormattedCitation":"(Hidayat and Sunarsi, 2020)"},"properties":{"noteIndex":0},"schema":"https://github.com/citation-style-language/schema/raw/master/csl-citation.json"}</w:instrText>
      </w:r>
      <w:r w:rsidRPr="00461C8E">
        <w:rPr>
          <w:rFonts w:ascii="Times New Roman" w:hAnsi="Times New Roman" w:cs="Times New Roman"/>
          <w:sz w:val="24"/>
        </w:rPr>
        <w:fldChar w:fldCharType="separate"/>
      </w:r>
      <w:r w:rsidR="0014663C" w:rsidRPr="0014663C">
        <w:rPr>
          <w:rFonts w:ascii="Times New Roman" w:hAnsi="Times New Roman" w:cs="Times New Roman"/>
          <w:noProof/>
          <w:sz w:val="24"/>
        </w:rPr>
        <w:t>(Hidayat &amp; Sunarsi, 2020)</w:t>
      </w:r>
      <w:r w:rsidRPr="00461C8E">
        <w:rPr>
          <w:rFonts w:ascii="Times New Roman" w:hAnsi="Times New Roman" w:cs="Times New Roman"/>
          <w:sz w:val="24"/>
        </w:rPr>
        <w:fldChar w:fldCharType="end"/>
      </w:r>
      <w:r w:rsidRPr="00BB2513">
        <w:rPr>
          <w:rFonts w:ascii="Times New Roman" w:hAnsi="Times New Roman" w:cs="Times New Roman"/>
          <w:bCs/>
          <w:sz w:val="24"/>
          <w:szCs w:val="24"/>
        </w:rPr>
        <w:t>.</w:t>
      </w:r>
      <w:r>
        <w:rPr>
          <w:rFonts w:ascii="Times New Roman" w:hAnsi="Times New Roman" w:cs="Times New Roman"/>
          <w:bCs/>
          <w:sz w:val="24"/>
          <w:szCs w:val="24"/>
        </w:rPr>
        <w:t xml:space="preserve"> </w:t>
      </w:r>
      <w:r w:rsidRPr="006C387E">
        <w:rPr>
          <w:rFonts w:ascii="Times New Roman" w:hAnsi="Times New Roman" w:cs="Times New Roman"/>
          <w:sz w:val="24"/>
        </w:rPr>
        <w:t>By understanding these relationships, Islamic banks can develop more effective strategies to enhance their financial performance and deliver better services to customers. Furthermore, the findings of this study can provide valuable insights for regulators and policymakers in formulating regulations that support the healthy and sustainable growth of the Islamic banking industry in the Asian region</w:t>
      </w:r>
      <w:r>
        <w:rPr>
          <w:rFonts w:ascii="Times New Roman" w:hAnsi="Times New Roman" w:cs="Times New Roman"/>
          <w:sz w:val="24"/>
        </w:rPr>
        <w:t xml:space="preserve"> </w:t>
      </w:r>
      <w:r w:rsidRPr="00461C8E">
        <w:rPr>
          <w:rFonts w:ascii="Times New Roman" w:hAnsi="Times New Roman" w:cs="Times New Roman"/>
          <w:sz w:val="24"/>
        </w:rPr>
        <w:fldChar w:fldCharType="begin" w:fldLock="1"/>
      </w:r>
      <w:r w:rsidR="0014663C">
        <w:rPr>
          <w:rFonts w:ascii="Times New Roman" w:hAnsi="Times New Roman" w:cs="Times New Roman"/>
          <w:sz w:val="24"/>
        </w:rPr>
        <w:instrText>ADDIN CSL_CITATION {"citationItems":[{"id":"ITEM-1","itemData":{"abstract":"… Kinerja bisnis adalah hasil dari proses manajemen strategis. Praktik manajemen strategis yang … Ikatan adalah salah satu isu terpenting di era digital saat ini, berbagai penelitian …","author":[{"dropping-particle":"","family":"Ana","given":"Dimas Elly","non-dropping-particle":"","parse-names":false,"suffix":""},{"dropping-particle":"","family":"Zunaidi","given":"Arif","non-dropping-particle":"","parse-names":false,"suffix":""}],"container-title":"Proceedings of Islamic Economics, Business, and Philanthropy","id":"ITEM-1","issue":"1","issued":{"date-parts":[["2022"]]},"page":"167-188","title":"Strategi Perbankan Syariah Dalam Memenangkan Persaingan Di Masa Pandemi Covid-19","type":"article-journal","volume":"1"},"uris":["http://www.mendeley.com/documents/?uuid=f4812785-6fdc-4401-ad2d-143e4471078b","http://www.mendeley.com/documents/?uuid=9529cd6e-0152-4df0-bd42-3b26f6cdffbc"]}],"mendeley":{"formattedCitation":"(Ana and Zunaidi, 2022)","plainTextFormattedCitation":"(Ana and Zunaidi, 2022)","previouslyFormattedCitation":"(Ana and Zunaidi, 2022)"},"properties":{"noteIndex":0},"schema":"https://github.com/citation-style-language/schema/raw/master/csl-citation.json"}</w:instrText>
      </w:r>
      <w:r w:rsidRPr="00461C8E">
        <w:rPr>
          <w:rFonts w:ascii="Times New Roman" w:hAnsi="Times New Roman" w:cs="Times New Roman"/>
          <w:sz w:val="24"/>
        </w:rPr>
        <w:fldChar w:fldCharType="separate"/>
      </w:r>
      <w:r w:rsidR="0014663C" w:rsidRPr="0014663C">
        <w:rPr>
          <w:rFonts w:ascii="Times New Roman" w:hAnsi="Times New Roman" w:cs="Times New Roman"/>
          <w:noProof/>
          <w:sz w:val="24"/>
        </w:rPr>
        <w:t>(Ana &amp; Zunaidi, 2022)</w:t>
      </w:r>
      <w:r w:rsidRPr="00461C8E">
        <w:rPr>
          <w:rFonts w:ascii="Times New Roman" w:hAnsi="Times New Roman" w:cs="Times New Roman"/>
          <w:sz w:val="24"/>
        </w:rPr>
        <w:fldChar w:fldCharType="end"/>
      </w:r>
      <w:r w:rsidRPr="00461C8E">
        <w:rPr>
          <w:rFonts w:ascii="Times New Roman" w:hAnsi="Times New Roman" w:cs="Times New Roman"/>
          <w:sz w:val="24"/>
        </w:rPr>
        <w:t>.</w:t>
      </w:r>
    </w:p>
    <w:p w14:paraId="2FB51B66" w14:textId="11328107" w:rsidR="00BB2513" w:rsidRDefault="00BC2F61" w:rsidP="001C61F9">
      <w:pPr>
        <w:pStyle w:val="ListParagraph"/>
        <w:spacing w:line="240" w:lineRule="auto"/>
        <w:ind w:left="0" w:firstLine="567"/>
        <w:jc w:val="both"/>
        <w:rPr>
          <w:rFonts w:ascii="Times New Roman" w:hAnsi="Times New Roman" w:cs="Times New Roman"/>
          <w:sz w:val="24"/>
        </w:rPr>
      </w:pPr>
      <w:r w:rsidRPr="006C387E">
        <w:rPr>
          <w:rFonts w:ascii="Times New Roman" w:hAnsi="Times New Roman" w:cs="Times New Roman"/>
          <w:bCs/>
          <w:sz w:val="24"/>
          <w:szCs w:val="24"/>
        </w:rPr>
        <w:t>Bank size is considered to reflect the operational scale, the ability to achieve economies of scale, and product diversification</w:t>
      </w:r>
      <w:r>
        <w:rPr>
          <w:rFonts w:ascii="Times New Roman" w:hAnsi="Times New Roman" w:cs="Times New Roman"/>
          <w:bCs/>
          <w:sz w:val="24"/>
          <w:szCs w:val="24"/>
        </w:rPr>
        <w:t xml:space="preserve"> </w:t>
      </w:r>
      <w:r w:rsidR="00363343" w:rsidRPr="00461C8E">
        <w:rPr>
          <w:rFonts w:ascii="Times New Roman" w:hAnsi="Times New Roman" w:cs="Times New Roman"/>
          <w:sz w:val="24"/>
        </w:rPr>
        <w:fldChar w:fldCharType="begin" w:fldLock="1"/>
      </w:r>
      <w:r w:rsidR="0014663C">
        <w:rPr>
          <w:rFonts w:ascii="Times New Roman" w:hAnsi="Times New Roman" w:cs="Times New Roman"/>
          <w:sz w:val="24"/>
        </w:rPr>
        <w:instrText>ADDIN CSL_CITATION {"citationItems":[{"id":"ITEM-1","itemData":{"ISSN":"2337-3792","abstract":"The existence of differences in the performance levels of various banks in Indonesia and the existence of problems in the banking industry to date have caused a decline in bank performance accompanied by the pandemic caused by COVID-19, making research on the factors that affect bank performance important to study. This study was conducted to analyze the effect of bank size (size), Capital Adequacy Ratio (CAR), Non-Performing Loans (NPL), Income Diversification, Loans to Deposit Ratio (LDR), and Operating Costs and Operating Income (BOPO) on performance. go-public conventional commercial banks in Indonesia. Bank Indonesia's performance in this study was measured using the Return of Assets (ROA). The number of samples used in this study were 25 conventional public banks in Indonesia in the 2016-2020 period. The data selection method used the purposive sampling method. The research data used was obtained based on several reports on banks including bank financial statements, bank annual reports, and Indonesian Banking Publication and Statistics Reports published by the Financial Services Authority. Hypothesis testing in this study used multiple linear regression analysis with SPSS 22 program. The results showed that the Capital Adequacy Ratio (CAR), Income Diversification, and Loans to Deposit Ratio (LDR) had a significant positive effect on bank performance. Bank size (size) has a positive but not significant effect on bank performance in Indonesia, while Non-Performing Loans (NPL) and Operating Costs and Operating Income (BOPO) have a significant negative effect on bank performance in Indonesia for the 2016-2020 period.","author":[{"dropping-particle":"","family":"Damayanti","given":"Almaa Calista","non-dropping-particle":"","parse-names":false,"suffix":""},{"dropping-particle":"","family":"Mawardi","given":"Wisnu","non-dropping-particle":"","parse-names":false,"suffix":""}],"container-title":"Diponegoro Journal of Management","id":"ITEM-1","issue":"1","issued":{"date-parts":[["2022"]]},"page":"1-13","title":"Pengaruh Ukuran Bank (Size), Loans to Deposit Ratio (LDR), Capital Adequacy Ratio (CAR), Non-Performing Loans (NPL), Diversifikasi Pendapatan, dan BOPO Terhadap Kinerja Bank di Indonesia (Studi Pada Bank Umum Konvensional yang Terdaftar di BEI Tahun 2016-","type":"article-journal","volume":"11"},"uris":["http://www.mendeley.com/documents/?uuid=a8c3bb7d-def9-4548-8242-621fa6bd47bd","http://www.mendeley.com/documents/?uuid=76997610-d830-4624-a77b-7f6239b47eb9"]}],"mendeley":{"formattedCitation":"(Damayanti and Mawardi, 2022)","plainTextFormattedCitation":"(Damayanti and Mawardi, 2022)","previouslyFormattedCitation":"(Damayanti and Mawardi, 2022)"},"properties":{"noteIndex":0},"schema":"https://github.com/citation-style-language/schema/raw/master/csl-citation.json"}</w:instrText>
      </w:r>
      <w:r w:rsidR="00363343" w:rsidRPr="00461C8E">
        <w:rPr>
          <w:rFonts w:ascii="Times New Roman" w:hAnsi="Times New Roman" w:cs="Times New Roman"/>
          <w:sz w:val="24"/>
        </w:rPr>
        <w:fldChar w:fldCharType="separate"/>
      </w:r>
      <w:r w:rsidR="0014663C" w:rsidRPr="0014663C">
        <w:rPr>
          <w:rFonts w:ascii="Times New Roman" w:hAnsi="Times New Roman" w:cs="Times New Roman"/>
          <w:noProof/>
          <w:sz w:val="24"/>
        </w:rPr>
        <w:t>(Damayanti &amp; Mawardi, 2022)</w:t>
      </w:r>
      <w:r w:rsidR="00363343" w:rsidRPr="00461C8E">
        <w:rPr>
          <w:rFonts w:ascii="Times New Roman" w:hAnsi="Times New Roman" w:cs="Times New Roman"/>
          <w:sz w:val="24"/>
        </w:rPr>
        <w:fldChar w:fldCharType="end"/>
      </w:r>
      <w:r w:rsidRPr="00BB2513">
        <w:rPr>
          <w:rFonts w:ascii="Times New Roman" w:hAnsi="Times New Roman" w:cs="Times New Roman"/>
          <w:bCs/>
          <w:sz w:val="24"/>
          <w:szCs w:val="24"/>
        </w:rPr>
        <w:t>.</w:t>
      </w:r>
      <w:r w:rsidRPr="00BB2513">
        <w:t xml:space="preserve"> </w:t>
      </w:r>
      <w:r w:rsidRPr="006C387E">
        <w:rPr>
          <w:rFonts w:ascii="Times New Roman" w:hAnsi="Times New Roman" w:cs="Times New Roman"/>
          <w:bCs/>
          <w:sz w:val="24"/>
          <w:szCs w:val="24"/>
        </w:rPr>
        <w:t>Larger banks tend to have better access to resources and markets, which can influence their profitability</w:t>
      </w:r>
      <w:r>
        <w:rPr>
          <w:rFonts w:ascii="Times New Roman" w:hAnsi="Times New Roman" w:cs="Times New Roman"/>
          <w:bCs/>
          <w:sz w:val="24"/>
          <w:szCs w:val="24"/>
        </w:rPr>
        <w:t xml:space="preserve"> </w:t>
      </w:r>
      <w:r w:rsidR="00363343" w:rsidRPr="00461C8E">
        <w:rPr>
          <w:rFonts w:ascii="Times New Roman" w:hAnsi="Times New Roman" w:cs="Times New Roman"/>
          <w:sz w:val="24"/>
        </w:rPr>
        <w:fldChar w:fldCharType="begin" w:fldLock="1"/>
      </w:r>
      <w:r w:rsidR="0014663C">
        <w:rPr>
          <w:rFonts w:ascii="Times New Roman" w:hAnsi="Times New Roman" w:cs="Times New Roman"/>
          <w:sz w:val="24"/>
        </w:rPr>
        <w:instrText>ADDIN CSL_CITATION {"citationItems":[{"id":"ITEM-1","itemData":{"DOI":"10.55963/jumpa.v11i1.604","author":[{"dropping-particle":"","family":"Hendari","given":"Shafira","non-dropping-particle":"","parse-names":false,"suffix":""},{"dropping-particle":"","family":"Arifin","given":"Zainal","non-dropping-particle":"","parse-names":false,"suffix":""},{"dropping-particle":"","family":"Yulius","given":"Yopie","non-dropping-particle":"","parse-names":false,"suffix":""},{"dropping-particle":"","family":"Hidayat","given":"Malik","non-dropping-particle":"","parse-names":false,"suffix":""}],"id":"ITEM-1","issued":{"date-parts":[["2024"]]},"page":"23-36","title":"Penilaian Aspek Profitabilitas pada Bank yang Tercatat di Bursa Efek Indonesia Aspects of Profitability Determinants in Banking Listed on the Indonesia Stock Exchange","type":"article-journal","volume":"11"},"uris":["http://www.mendeley.com/documents/?uuid=d3a3a508-bda1-4530-a73d-a8f676d7d8e5","http://www.mendeley.com/documents/?uuid=99977d27-09b3-4b23-ae55-866cecd5e3b3"]}],"mendeley":{"formattedCitation":"(Hendari, Arifin, Yulius, and Hidayat, 2024)","plainTextFormattedCitation":"(Hendari, Arifin, Yulius, and Hidayat, 2024)","previouslyFormattedCitation":"(Hendari, Arifin, Yulius, and Hidayat, 2024)"},"properties":{"noteIndex":0},"schema":"https://github.com/citation-style-language/schema/raw/master/csl-citation.json"}</w:instrText>
      </w:r>
      <w:r w:rsidR="00363343" w:rsidRPr="00461C8E">
        <w:rPr>
          <w:rFonts w:ascii="Times New Roman" w:hAnsi="Times New Roman" w:cs="Times New Roman"/>
          <w:sz w:val="24"/>
        </w:rPr>
        <w:fldChar w:fldCharType="separate"/>
      </w:r>
      <w:r w:rsidR="0014663C" w:rsidRPr="0014663C">
        <w:rPr>
          <w:rFonts w:ascii="Times New Roman" w:hAnsi="Times New Roman" w:cs="Times New Roman"/>
          <w:noProof/>
          <w:sz w:val="24"/>
        </w:rPr>
        <w:t>(Hendari et al., 2024)</w:t>
      </w:r>
      <w:r w:rsidR="00363343" w:rsidRPr="00461C8E">
        <w:rPr>
          <w:rFonts w:ascii="Times New Roman" w:hAnsi="Times New Roman" w:cs="Times New Roman"/>
          <w:sz w:val="24"/>
        </w:rPr>
        <w:fldChar w:fldCharType="end"/>
      </w:r>
      <w:r w:rsidRPr="00BB2513">
        <w:rPr>
          <w:rFonts w:ascii="Times New Roman" w:hAnsi="Times New Roman" w:cs="Times New Roman"/>
          <w:bCs/>
          <w:sz w:val="24"/>
          <w:szCs w:val="24"/>
        </w:rPr>
        <w:t>.</w:t>
      </w:r>
      <w:r>
        <w:rPr>
          <w:rFonts w:ascii="Times New Roman" w:hAnsi="Times New Roman" w:cs="Times New Roman"/>
          <w:bCs/>
          <w:sz w:val="24"/>
          <w:szCs w:val="24"/>
        </w:rPr>
        <w:t xml:space="preserve"> </w:t>
      </w:r>
      <w:r w:rsidRPr="006C387E">
        <w:rPr>
          <w:rFonts w:ascii="Times New Roman" w:hAnsi="Times New Roman" w:cs="Times New Roman"/>
          <w:bCs/>
          <w:sz w:val="24"/>
          <w:szCs w:val="24"/>
        </w:rPr>
        <w:t>Third-party funds serve as the primary source of financing for Islamic banks, originating from customer deposits in the form of demand deposits, savings, and time deposits</w:t>
      </w:r>
      <w:r>
        <w:rPr>
          <w:rFonts w:ascii="Times New Roman" w:hAnsi="Times New Roman" w:cs="Times New Roman"/>
          <w:bCs/>
          <w:sz w:val="24"/>
          <w:szCs w:val="24"/>
        </w:rPr>
        <w:t xml:space="preserve"> </w:t>
      </w:r>
      <w:r w:rsidRPr="00BB2513">
        <w:rPr>
          <w:rFonts w:ascii="Times New Roman" w:hAnsi="Times New Roman" w:cs="Times New Roman"/>
          <w:bCs/>
          <w:sz w:val="24"/>
          <w:szCs w:val="24"/>
        </w:rPr>
        <w:fldChar w:fldCharType="begin" w:fldLock="1"/>
      </w:r>
      <w:r w:rsidR="0014663C">
        <w:rPr>
          <w:rFonts w:ascii="Times New Roman" w:hAnsi="Times New Roman" w:cs="Times New Roman"/>
          <w:bCs/>
          <w:sz w:val="24"/>
          <w:szCs w:val="24"/>
        </w:rPr>
        <w:instrText>ADDIN CSL_CITATION {"citationItems":[{"id":"ITEM-1","itemData":{"DOI":"10.24912/jpa.v1i2.4701","abstract":"This research aims to determine the effect of bank size, capital adequacy ratio, loan to deposit ratio, net interest margin and non performing loan toward the bank profitability. This research uses 33 samples of commercial banks that listed on The Indonesia Stock Exchange in the year of 2015-2017 with the multiple regression analysis technique  using Statistical Product and Service Solution for Windows released 21 (SPSS 21.0) and Microsoft Office Excel 2010. The results of T test indicate that bank size, loan to deposit ratio, net interest marginand non performing loan have a significant effect on bank profitability. Meanwhile, capital adequacy ratio has an insignificant effect on bank profitability. The results of F test indicate that all the variables in this research simultaneously have a significant effect on bank profitability.","author":[{"dropping-particle":"","family":"Liana Susanto","given":"Loraine Pertiwi,","non-dropping-particle":"","parse-names":false,"suffix":""}],"container-title":"Jurnal Paradigma Akuntansi","id":"ITEM-1","issue":"2","issued":{"date-parts":[["2019"]]},"page":"282","title":"Faktor Yang Mempengaruhi Profitabilitas Pada Perbankan Yang Terdaftar Di Bei","type":"article-journal","volume":"1"},"uris":["http://www.mendeley.com/documents/?uuid=3ad00d24-f96e-42a5-8b96-a78e5e4e1f32","http://www.mendeley.com/documents/?uuid=f8834e5c-2695-4cb6-b13b-a261981f03a4"]}],"mendeley":{"formattedCitation":"(Liana Susanto, 2019)","plainTextFormattedCitation":"(Liana Susanto, 2019)","previouslyFormattedCitation":"(Liana Susanto, 2019)"},"properties":{"noteIndex":0},"schema":"https://github.com/citation-style-language/schema/raw/master/csl-citation.json"}</w:instrText>
      </w:r>
      <w:r w:rsidRPr="00BB2513">
        <w:rPr>
          <w:rFonts w:ascii="Times New Roman" w:hAnsi="Times New Roman" w:cs="Times New Roman"/>
          <w:bCs/>
          <w:sz w:val="24"/>
          <w:szCs w:val="24"/>
        </w:rPr>
        <w:fldChar w:fldCharType="separate"/>
      </w:r>
      <w:r w:rsidRPr="00BB2513">
        <w:rPr>
          <w:rFonts w:ascii="Times New Roman" w:hAnsi="Times New Roman" w:cs="Times New Roman"/>
          <w:bCs/>
          <w:noProof/>
          <w:sz w:val="24"/>
          <w:szCs w:val="24"/>
        </w:rPr>
        <w:t>(Liana Susanto, 2019)</w:t>
      </w:r>
      <w:r w:rsidRPr="00BB2513">
        <w:rPr>
          <w:rFonts w:ascii="Times New Roman" w:hAnsi="Times New Roman" w:cs="Times New Roman"/>
          <w:bCs/>
          <w:sz w:val="24"/>
          <w:szCs w:val="24"/>
        </w:rPr>
        <w:fldChar w:fldCharType="end"/>
      </w:r>
      <w:r w:rsidRPr="00BB2513">
        <w:rPr>
          <w:rFonts w:ascii="Times New Roman" w:hAnsi="Times New Roman" w:cs="Times New Roman"/>
          <w:bCs/>
          <w:sz w:val="24"/>
          <w:szCs w:val="24"/>
        </w:rPr>
        <w:t xml:space="preserve">. </w:t>
      </w:r>
      <w:r w:rsidRPr="006C387E">
        <w:rPr>
          <w:rFonts w:ascii="Times New Roman" w:hAnsi="Times New Roman" w:cs="Times New Roman"/>
          <w:bCs/>
          <w:sz w:val="24"/>
          <w:szCs w:val="24"/>
        </w:rPr>
        <w:t>The greater the Third-party funds collected by Islamic banks, the greater their potential to channel financing and generate revenue</w:t>
      </w:r>
      <w:r w:rsidRPr="00BB2513">
        <w:rPr>
          <w:rFonts w:ascii="Times New Roman" w:hAnsi="Times New Roman" w:cs="Times New Roman"/>
          <w:bCs/>
          <w:sz w:val="24"/>
          <w:szCs w:val="24"/>
        </w:rPr>
        <w:t>.</w:t>
      </w:r>
      <w:r>
        <w:rPr>
          <w:rFonts w:ascii="Times New Roman" w:hAnsi="Times New Roman" w:cs="Times New Roman"/>
          <w:bCs/>
          <w:sz w:val="24"/>
          <w:szCs w:val="24"/>
        </w:rPr>
        <w:t xml:space="preserve"> </w:t>
      </w:r>
      <w:r w:rsidRPr="006C387E">
        <w:rPr>
          <w:rFonts w:ascii="Times New Roman" w:hAnsi="Times New Roman" w:cs="Times New Roman"/>
          <w:bCs/>
          <w:sz w:val="24"/>
          <w:szCs w:val="24"/>
        </w:rPr>
        <w:t>Additionally, dividend policy can also impact bank profitability. Dividend policy is a critical aspect of financial management for Islamic banks. An appropriate policy helps banks maintain a balance between distributing profits to shareholders and preserving capital to support future business growth</w:t>
      </w:r>
      <w:r w:rsidR="00363343">
        <w:rPr>
          <w:rFonts w:ascii="Times New Roman" w:hAnsi="Times New Roman" w:cs="Times New Roman"/>
          <w:bCs/>
          <w:sz w:val="24"/>
          <w:szCs w:val="24"/>
        </w:rPr>
        <w:t xml:space="preserve"> </w:t>
      </w:r>
      <w:r w:rsidR="00363343" w:rsidRPr="00461C8E">
        <w:rPr>
          <w:rFonts w:ascii="Times New Roman" w:hAnsi="Times New Roman" w:cs="Times New Roman"/>
          <w:sz w:val="24"/>
        </w:rPr>
        <w:fldChar w:fldCharType="begin" w:fldLock="1"/>
      </w:r>
      <w:r w:rsidR="0014663C">
        <w:rPr>
          <w:rFonts w:ascii="Times New Roman" w:hAnsi="Times New Roman" w:cs="Times New Roman"/>
          <w:sz w:val="24"/>
        </w:rPr>
        <w:instrText>ADDIN CSL_CITATION {"citationItems":[{"id":"ITEM-1","itemData":{"DOI":"10.36778/jesya.v6i1.1071","ISSN":"2614-3259","abstract":"The purpose of this study was to determine the effect of capital structure and dividend policy on firm value with profitability as a moderating variable in banking companies listed on the Indonesia Stock Exchange. The research design used is quantitative research. The data used is secondary data in the form of time series data. Data analysis used Smart PLS software version 3.0. The research results show that: 1). Dividend policy has no significant effect on firm value; 2). Capital structure has no significant effect on profitability; 3) Capital structure has a significant effect on profitability; 4). Dividend policy has a significant effect on profitability; 5). Profitability has a significant effect on firm value; 6). Profitability does not have a significant role in mediating the effect of capital structure and dividend policy on firm value.","author":[{"dropping-particle":"","family":"Rimawan","given":"M","non-dropping-particle":"","parse-names":false,"suffix":""},{"dropping-particle":"","family":"Muniarty","given":"Puji","non-dropping-particle":"","parse-names":false,"suffix":""},{"dropping-particle":"","family":"Alwi","given":"Alwi","non-dropping-particle":"","parse-names":false,"suffix":""},{"dropping-particle":"","family":"Mutiah","given":"Hanifah","non-dropping-particle":"","parse-names":false,"suffix":""},{"dropping-particle":"","family":"Pratiwi","given":"Aliah","non-dropping-particle":"","parse-names":false,"suffix":""}],"container-title":"Jesya","id":"ITEM-1","issue":"1","issued":{"date-parts":[["2023"]]},"page":"1029-1041","title":"Analisis Pengaruh Kebijakan Deviden dan Struktur Modal terhadap Nilai Perusahaan dengan Profitabilitas sebagai Pemoderasi pada Perusahaan Perbankan yang Listing di BEI","type":"article-journal","volume":"6"},"uris":["http://www.mendeley.com/documents/?uuid=b8afb83c-34a3-4e14-ba6d-c1febdab28ba","http://www.mendeley.com/documents/?uuid=e6a6d0a5-1975-4051-b06a-33f6aa88b195"]}],"mendeley":{"formattedCitation":"(Rimawan et al., 2023)","plainTextFormattedCitation":"(Rimawan et al., 2023)","previouslyFormattedCitation":"(Rimawan et al., 2023)"},"properties":{"noteIndex":0},"schema":"https://github.com/citation-style-language/schema/raw/master/csl-citation.json"}</w:instrText>
      </w:r>
      <w:r w:rsidR="00363343" w:rsidRPr="00461C8E">
        <w:rPr>
          <w:rFonts w:ascii="Times New Roman" w:hAnsi="Times New Roman" w:cs="Times New Roman"/>
          <w:sz w:val="24"/>
        </w:rPr>
        <w:fldChar w:fldCharType="separate"/>
      </w:r>
      <w:r w:rsidR="00363343" w:rsidRPr="00461C8E">
        <w:rPr>
          <w:rFonts w:ascii="Times New Roman" w:hAnsi="Times New Roman" w:cs="Times New Roman"/>
          <w:noProof/>
          <w:sz w:val="24"/>
        </w:rPr>
        <w:t>(Rimawan et al., 2023)</w:t>
      </w:r>
      <w:r w:rsidR="00363343" w:rsidRPr="00461C8E">
        <w:rPr>
          <w:rFonts w:ascii="Times New Roman" w:hAnsi="Times New Roman" w:cs="Times New Roman"/>
          <w:sz w:val="24"/>
        </w:rPr>
        <w:fldChar w:fldCharType="end"/>
      </w:r>
      <w:r w:rsidR="00363343">
        <w:rPr>
          <w:rFonts w:ascii="Times New Roman" w:hAnsi="Times New Roman" w:cs="Times New Roman"/>
          <w:sz w:val="24"/>
        </w:rPr>
        <w:t>.</w:t>
      </w:r>
    </w:p>
    <w:p w14:paraId="51E8EA8D" w14:textId="77777777" w:rsidR="00363343" w:rsidRDefault="00BC2F61" w:rsidP="001C61F9">
      <w:pPr>
        <w:pStyle w:val="ListParagraph"/>
        <w:spacing w:line="240" w:lineRule="auto"/>
        <w:ind w:left="0" w:firstLine="567"/>
        <w:jc w:val="both"/>
        <w:rPr>
          <w:rFonts w:ascii="Times New Roman" w:hAnsi="Times New Roman" w:cs="Times New Roman"/>
          <w:sz w:val="24"/>
        </w:rPr>
      </w:pPr>
      <w:r w:rsidRPr="006C387E">
        <w:rPr>
          <w:rFonts w:ascii="Times New Roman" w:hAnsi="Times New Roman" w:cs="Times New Roman"/>
          <w:bCs/>
          <w:sz w:val="24"/>
          <w:szCs w:val="24"/>
        </w:rPr>
        <w:t>Research by</w:t>
      </w:r>
      <w:r>
        <w:rPr>
          <w:rFonts w:ascii="Times New Roman" w:hAnsi="Times New Roman" w:cs="Times New Roman"/>
          <w:bCs/>
          <w:sz w:val="24"/>
          <w:szCs w:val="24"/>
        </w:rPr>
        <w:t xml:space="preserve"> </w:t>
      </w:r>
      <w:r w:rsidRPr="00461C8E">
        <w:rPr>
          <w:rFonts w:ascii="Times New Roman" w:hAnsi="Times New Roman" w:cs="Times New Roman"/>
          <w:sz w:val="24"/>
        </w:rPr>
        <w:fldChar w:fldCharType="begin" w:fldLock="1"/>
      </w:r>
      <w:r w:rsidR="0014663C">
        <w:rPr>
          <w:rFonts w:ascii="Times New Roman" w:hAnsi="Times New Roman" w:cs="Times New Roman"/>
          <w:sz w:val="24"/>
        </w:rPr>
        <w:instrText>ADDIN CSL_CITATION {"citationItems":[{"id":"ITEM-1","itemData":{"author":[{"dropping-particle":"","family":"Mei","given":"Vol No","non-dropping-particle":"","parse-names":false,"suffix":""},{"dropping-particle":"","family":"Periode","given":"Profitabilitas","non-dropping-particle":"","parse-names":false,"suffix":""},{"dropping-particle":"","family":"Anatasya","given":"Arifa","non-dropping-particle":"","parse-names":false,"suffix":""},{"dropping-particle":"","family":"Susilowati","given":"Endah","non-dropping-particle":"","parse-names":false,"suffix":""}],"id":"ITEM-1","issue":"1","issued":{"date-parts":[["2021"]]},"page":"271-281","title":"Pengaruh Bank Size , Nim , Dan Car Terhadap","type":"article-journal","volume":"1"},"uris":["http://www.mendeley.com/documents/?uuid=7b20fc66-4b67-489e-81a2-eda3e38a18a2","http://www.mendeley.com/documents/?uuid=73c95334-d97d-44a9-a7db-e418bb2ebd45"]},{"id":"ITEM-2","itemData":{"DOI":"10.24912/jpa.v1i2.4701","abstract":"This research aims to determine the effect of bank size, capital adequacy ratio, loan to deposit ratio, net interest margin and non performing loan toward the bank profitability. This research uses 33 samples of commercial banks that listed on The Indonesia Stock Exchange in the year of 2015-2017 with the multiple regression analysis technique  using Statistical Product and Service Solution for Windows released 21 (SPSS 21.0) and Microsoft Office Excel 2010. The results of T test indicate that bank size, loan to deposit ratio, net interest marginand non performing loan have a significant effect on bank profitability. Meanwhile, capital adequacy ratio has an insignificant effect on bank profitability. The results of F test indicate that all the variables in this research simultaneously have a significant effect on bank profitability.","author":[{"dropping-particle":"","family":"Liana Susanto","given":"Loraine Pertiwi,","non-dropping-particle":"","parse-names":false,"suffix":""}],"container-title":"Jurnal Paradigma Akuntansi","id":"ITEM-2","issue":"2","issued":{"date-parts":[["2019"]]},"page":"282","title":"Faktor Yang Mempengaruhi Profitabilitas Pada Perbankan Yang Terdaftar Di Bei","type":"article-journal","volume":"1"},"uris":["http://www.mendeley.com/documents/?uuid=f8834e5c-2695-4cb6-b13b-a261981f03a4","http://www.mendeley.com/documents/?uuid=3ad00d24-f96e-42a5-8b96-a78e5e4e1f32"]}],"mendeley":{"formattedCitation":"(Liana Susanto, 2019; Mei, Periode, Anatasya, and Susilowati, 2021)","manualFormatting":"Liana Susanto (2019); Mei et al. (2021)","plainTextFormattedCitation":"(Liana Susanto, 2019; Mei, Periode, Anatasya, and Susilowati, 2021)","previouslyFormattedCitation":"(Liana Susanto, 2019; Mei, Periode, Anatasya, and Susilowati, 2021)"},"properties":{"noteIndex":0},"schema":"https://github.com/citation-style-language/schema/raw/master/csl-citation.json"}</w:instrText>
      </w:r>
      <w:r w:rsidRPr="00461C8E">
        <w:rPr>
          <w:rFonts w:ascii="Times New Roman" w:hAnsi="Times New Roman" w:cs="Times New Roman"/>
          <w:sz w:val="24"/>
        </w:rPr>
        <w:fldChar w:fldCharType="separate"/>
      </w:r>
      <w:r w:rsidRPr="00461C8E">
        <w:rPr>
          <w:rFonts w:ascii="Times New Roman" w:hAnsi="Times New Roman" w:cs="Times New Roman"/>
          <w:noProof/>
          <w:sz w:val="24"/>
        </w:rPr>
        <w:t xml:space="preserve">Liana Susanto </w:t>
      </w:r>
      <w:r>
        <w:rPr>
          <w:rFonts w:ascii="Times New Roman" w:hAnsi="Times New Roman" w:cs="Times New Roman"/>
          <w:noProof/>
          <w:sz w:val="24"/>
        </w:rPr>
        <w:t>(</w:t>
      </w:r>
      <w:r w:rsidRPr="00461C8E">
        <w:rPr>
          <w:rFonts w:ascii="Times New Roman" w:hAnsi="Times New Roman" w:cs="Times New Roman"/>
          <w:noProof/>
          <w:sz w:val="24"/>
        </w:rPr>
        <w:t>2019</w:t>
      </w:r>
      <w:r>
        <w:rPr>
          <w:rFonts w:ascii="Times New Roman" w:hAnsi="Times New Roman" w:cs="Times New Roman"/>
          <w:noProof/>
          <w:sz w:val="24"/>
        </w:rPr>
        <w:t>)</w:t>
      </w:r>
      <w:r w:rsidRPr="00461C8E">
        <w:rPr>
          <w:rFonts w:ascii="Times New Roman" w:hAnsi="Times New Roman" w:cs="Times New Roman"/>
          <w:noProof/>
          <w:sz w:val="24"/>
        </w:rPr>
        <w:t xml:space="preserve"> and Mei et al. </w:t>
      </w:r>
      <w:r>
        <w:rPr>
          <w:rFonts w:ascii="Times New Roman" w:hAnsi="Times New Roman" w:cs="Times New Roman"/>
          <w:noProof/>
          <w:sz w:val="24"/>
        </w:rPr>
        <w:t>(</w:t>
      </w:r>
      <w:r w:rsidRPr="00461C8E">
        <w:rPr>
          <w:rFonts w:ascii="Times New Roman" w:hAnsi="Times New Roman" w:cs="Times New Roman"/>
          <w:noProof/>
          <w:sz w:val="24"/>
        </w:rPr>
        <w:t>2021)</w:t>
      </w:r>
      <w:r w:rsidRPr="00461C8E">
        <w:rPr>
          <w:rFonts w:ascii="Times New Roman" w:hAnsi="Times New Roman" w:cs="Times New Roman"/>
          <w:sz w:val="24"/>
        </w:rPr>
        <w:fldChar w:fldCharType="end"/>
      </w:r>
      <w:r>
        <w:rPr>
          <w:rFonts w:ascii="Times New Roman" w:hAnsi="Times New Roman" w:cs="Times New Roman"/>
          <w:sz w:val="24"/>
        </w:rPr>
        <w:t xml:space="preserve"> </w:t>
      </w:r>
      <w:r w:rsidR="00DD5BC2">
        <w:rPr>
          <w:rFonts w:ascii="Times New Roman" w:hAnsi="Times New Roman" w:cs="Times New Roman"/>
          <w:sz w:val="24"/>
        </w:rPr>
        <w:t>Found</w:t>
      </w:r>
      <w:r w:rsidRPr="006C387E">
        <w:rPr>
          <w:rFonts w:ascii="Times New Roman" w:hAnsi="Times New Roman" w:cs="Times New Roman"/>
          <w:sz w:val="24"/>
        </w:rPr>
        <w:t xml:space="preserve"> that larger bank size has a positive effect on profitability. However, studies by</w:t>
      </w:r>
      <w:r w:rsidRPr="00363343">
        <w:rPr>
          <w:rFonts w:ascii="Times New Roman" w:hAnsi="Times New Roman" w:cs="Times New Roman"/>
          <w:sz w:val="24"/>
        </w:rPr>
        <w:t xml:space="preserve"> </w:t>
      </w:r>
      <w:r w:rsidRPr="00363343">
        <w:rPr>
          <w:rFonts w:ascii="Times New Roman" w:hAnsi="Times New Roman" w:cs="Times New Roman"/>
          <w:sz w:val="24"/>
        </w:rPr>
        <w:fldChar w:fldCharType="begin" w:fldLock="1"/>
      </w:r>
      <w:r w:rsidR="0014663C">
        <w:rPr>
          <w:rFonts w:ascii="Times New Roman" w:hAnsi="Times New Roman" w:cs="Times New Roman"/>
          <w:sz w:val="24"/>
        </w:rPr>
        <w:instrText>ADDIN CSL_CITATION {"citationItems":[{"id":"ITEM-1","itemData":{"abstract":"The research aims to see earning asset quality, financial leverage, and company size influence the financial performance of Islamic Commercial Banks from 2016 and 2020. A descriptive quantitative statistical technique is used in this type of research. With Eviews software version 10, the data was used as panel data with analysis capabilities in the form of panel data regression. The study employed a purposive sampling technique to select a sample of 10 Islamic commercial banks registered with the OJK. Purposive sampling was performed since the researchers have specific criteria. The research found that concurrently had a substantial impact on Islamic commercial banks' financial performance. However, the partial test results reveal that the quality of earning assets and company size have such a considerable negative impact on Islamic commercial banks' financial performance, but financial leverage has no impact on financial performance.","author":[{"dropping-particle":"","family":"Maula","given":"I","non-dropping-particle":"","parse-names":false,"suffix":""},{"dropping-particle":"","family":"Jaya","given":"T J","non-dropping-particle":"","parse-names":false,"suffix":""}],"container-title":"Jurnal Masharif Al-Syariah: Jurnal Ekonomi dan Perbankan Syariah","id":"ITEM-1","issue":"2","issued":{"date-parts":[["2022"]]},"page":"763-775","title":"Effect of Earning Asset Quality, Financial Leverage, and Company Size on Financial Performance of Sharia Commercial Banks","type":"article-journal","volume":"7"},"uris":["http://www.mendeley.com/documents/?uuid=9bd4b4b4-5070-45e5-8e91-6ac012686deb","http://www.mendeley.com/documents/?uuid=2b4f3acc-64af-4ad6-80d3-747486cf5423"]},{"id":"ITEM-2","itemData":{"author":[{"dropping-particle":"","family":"Najhah","given":"Dzarrotun","non-dropping-particle":"","parse-names":false,"suffix":""},{"dropping-particle":"","family":"Gunistiyo","given":"","non-dropping-particle":"","parse-names":false,"suffix":""},{"dropping-particle":"","family":"Amin","given":"Mohammad Arridho Nur Amin","non-dropping-particle":"","parse-names":false,"suffix":""}],"id":"ITEM-2","issue":"1","issued":{"date-parts":[["2023"]]},"page":"21-38","title":"Pengaruh Non Performing Loan , BOPO dan Firm Size Terhadap Profitabilitas","type":"article-journal","volume":"4"},"uris":["http://www.mendeley.com/documents/?uuid=5be41769-75ed-4b94-a28b-27d719eb643a","http://www.mendeley.com/documents/?uuid=74f6d7b2-47d4-4faa-a0b9-22616dbd017a"]}],"mendeley":{"formattedCitation":"(Maula and Jaya, 2022; Najhah, Gunistiyo, and Amin, 2023)","manualFormatting":"Maula &amp; Jaya (2022); Najhah et al. (2023)","plainTextFormattedCitation":"(Maula and Jaya, 2022; Najhah, Gunistiyo, and Amin, 2023)","previouslyFormattedCitation":"(Maula and Jaya, 2022; Najhah, Gunistiyo, and Amin, 2023)"},"properties":{"noteIndex":0},"schema":"https://github.com/citation-style-language/schema/raw/master/csl-citation.json"}</w:instrText>
      </w:r>
      <w:r w:rsidRPr="00363343">
        <w:rPr>
          <w:rFonts w:ascii="Times New Roman" w:hAnsi="Times New Roman" w:cs="Times New Roman"/>
          <w:sz w:val="24"/>
        </w:rPr>
        <w:fldChar w:fldCharType="separate"/>
      </w:r>
      <w:r w:rsidRPr="00363343">
        <w:rPr>
          <w:rFonts w:ascii="Times New Roman" w:hAnsi="Times New Roman" w:cs="Times New Roman"/>
          <w:noProof/>
          <w:sz w:val="24"/>
        </w:rPr>
        <w:t xml:space="preserve">Maula and Jaya </w:t>
      </w:r>
      <w:r>
        <w:rPr>
          <w:rFonts w:ascii="Times New Roman" w:hAnsi="Times New Roman" w:cs="Times New Roman"/>
          <w:noProof/>
          <w:sz w:val="24"/>
        </w:rPr>
        <w:t>(</w:t>
      </w:r>
      <w:r w:rsidRPr="00363343">
        <w:rPr>
          <w:rFonts w:ascii="Times New Roman" w:hAnsi="Times New Roman" w:cs="Times New Roman"/>
          <w:noProof/>
          <w:sz w:val="24"/>
        </w:rPr>
        <w:t>2022</w:t>
      </w:r>
      <w:r>
        <w:rPr>
          <w:rFonts w:ascii="Times New Roman" w:hAnsi="Times New Roman" w:cs="Times New Roman"/>
          <w:noProof/>
          <w:sz w:val="24"/>
        </w:rPr>
        <w:t>)</w:t>
      </w:r>
      <w:r w:rsidRPr="00363343">
        <w:rPr>
          <w:rFonts w:ascii="Times New Roman" w:hAnsi="Times New Roman" w:cs="Times New Roman"/>
          <w:noProof/>
          <w:sz w:val="24"/>
        </w:rPr>
        <w:t xml:space="preserve"> and Najhah et al. </w:t>
      </w:r>
      <w:r>
        <w:rPr>
          <w:rFonts w:ascii="Times New Roman" w:hAnsi="Times New Roman" w:cs="Times New Roman"/>
          <w:noProof/>
          <w:sz w:val="24"/>
        </w:rPr>
        <w:t>(</w:t>
      </w:r>
      <w:r w:rsidRPr="00363343">
        <w:rPr>
          <w:rFonts w:ascii="Times New Roman" w:hAnsi="Times New Roman" w:cs="Times New Roman"/>
          <w:noProof/>
          <w:sz w:val="24"/>
        </w:rPr>
        <w:t>2023)</w:t>
      </w:r>
      <w:r w:rsidRPr="00363343">
        <w:rPr>
          <w:rFonts w:ascii="Times New Roman" w:hAnsi="Times New Roman" w:cs="Times New Roman"/>
          <w:sz w:val="24"/>
        </w:rPr>
        <w:fldChar w:fldCharType="end"/>
      </w:r>
      <w:r>
        <w:rPr>
          <w:rFonts w:ascii="Times New Roman" w:hAnsi="Times New Roman" w:cs="Times New Roman"/>
          <w:sz w:val="24"/>
        </w:rPr>
        <w:t xml:space="preserve"> </w:t>
      </w:r>
      <w:r w:rsidR="00DD5BC2">
        <w:rPr>
          <w:rFonts w:ascii="Times New Roman" w:hAnsi="Times New Roman" w:cs="Times New Roman"/>
          <w:sz w:val="24"/>
        </w:rPr>
        <w:t>Suggests</w:t>
      </w:r>
      <w:r w:rsidRPr="006C387E">
        <w:rPr>
          <w:rFonts w:ascii="Times New Roman" w:hAnsi="Times New Roman" w:cs="Times New Roman"/>
          <w:sz w:val="24"/>
        </w:rPr>
        <w:t xml:space="preserve"> that </w:t>
      </w:r>
      <w:r w:rsidR="00DD5BC2">
        <w:rPr>
          <w:rFonts w:ascii="Times New Roman" w:hAnsi="Times New Roman" w:cs="Times New Roman"/>
          <w:sz w:val="24"/>
        </w:rPr>
        <w:t>huge</w:t>
      </w:r>
      <w:r w:rsidRPr="006C387E">
        <w:rPr>
          <w:rFonts w:ascii="Times New Roman" w:hAnsi="Times New Roman" w:cs="Times New Roman"/>
          <w:sz w:val="24"/>
        </w:rPr>
        <w:t xml:space="preserve"> bank sizes may reduce profitability due to agency problems and more complex bureaucracy.</w:t>
      </w:r>
      <w:r>
        <w:rPr>
          <w:rFonts w:ascii="Times New Roman" w:hAnsi="Times New Roman" w:cs="Times New Roman"/>
          <w:sz w:val="24"/>
        </w:rPr>
        <w:t xml:space="preserve"> </w:t>
      </w:r>
      <w:r w:rsidRPr="00461C8E">
        <w:rPr>
          <w:rFonts w:ascii="Times New Roman" w:hAnsi="Times New Roman" w:cs="Times New Roman"/>
          <w:sz w:val="24"/>
        </w:rPr>
        <w:fldChar w:fldCharType="begin" w:fldLock="1"/>
      </w:r>
      <w:r w:rsidR="0014663C">
        <w:rPr>
          <w:rFonts w:ascii="Times New Roman" w:hAnsi="Times New Roman" w:cs="Times New Roman"/>
          <w:sz w:val="24"/>
        </w:rPr>
        <w:instrText>ADDIN CSL_CITATION {"citationItems":[{"id":"ITEM-1","itemData":{"DOI":"10.36406/jam.v17i02.328","ISSN":"1693-8364","abstract":"Penelitian ini bertujuan untuk meneliti apakah terdapat pengaruh dari mekanisme Capital Adequacy Ratio, Dana Pihak Ketiga, Non Performing Financing dan Pembiayaan Murabahah terhadap profitabilitas pada Bank Umum Syariah yang terdaftar di Otoritas Jasa Keuangan pada peiode 2012-2016 dengan jumlah sampel sebanyak 55 bank Syariah.Teknik pengumpulan data menggunakan metode dokumentasi pada situs resmi perbankan syariah. Hasil penelitian menunjukan capital adequacy ratio dan dana pihak ketiga berpengaruh terhadap profitabilitas, namun  non performing financing dan pembiayaan murabahah tidak berpengaruh terhadap profitabilitas. Secara simultan  capital adequacy ratio, dana pihak ketiga, non performing financing dan pembiayaan murabahah  berpengaruh terhadap profitabilitas.","author":[{"dropping-particle":"","family":"Ardheta","given":"Preztika Ayu","non-dropping-particle":"","parse-names":false,"suffix":""},{"dropping-particle":"","family":"Sina","given":"Helda Rahmi","non-dropping-particle":"","parse-names":false,"suffix":""}],"container-title":"Jurnal Akuntansi dan Manajemen","id":"ITEM-1","issue":"02","issued":{"date-parts":[["2020"]]},"page":"32-38","title":"Pengaruh Capital Adequacy Ratio, Dana Pihak Ketiga, Non Performing Financing dan Pembiayaan Murabahah Terhadap Profitabilitas","type":"article-journal","volume":"17"},"uris":["http://www.mendeley.com/documents/?uuid=1434e68e-9d73-4b60-880c-8d0904572d43","http://www.mendeley.com/documents/?uuid=50f5b9f4-76fa-4db0-aed7-ba0ef832ac11"]}],"mendeley":{"formattedCitation":"(Ardheta and Sina, 2020)","manualFormatting":"Ardheta &amp; Sina (2020)","plainTextFormattedCitation":"(Ardheta and Sina, 2020)","previouslyFormattedCitation":"(Ardheta and Sina, 2020)"},"properties":{"noteIndex":0},"schema":"https://github.com/citation-style-language/schema/raw/master/csl-citation.json"}</w:instrText>
      </w:r>
      <w:r w:rsidRPr="00461C8E">
        <w:rPr>
          <w:rFonts w:ascii="Times New Roman" w:hAnsi="Times New Roman" w:cs="Times New Roman"/>
          <w:sz w:val="24"/>
        </w:rPr>
        <w:fldChar w:fldCharType="separate"/>
      </w:r>
      <w:r w:rsidRPr="00461C8E">
        <w:rPr>
          <w:rFonts w:ascii="Times New Roman" w:hAnsi="Times New Roman" w:cs="Times New Roman"/>
          <w:noProof/>
          <w:sz w:val="24"/>
        </w:rPr>
        <w:t xml:space="preserve">Ardheta and Sina </w:t>
      </w:r>
      <w:r>
        <w:rPr>
          <w:rFonts w:ascii="Times New Roman" w:hAnsi="Times New Roman" w:cs="Times New Roman"/>
          <w:noProof/>
          <w:sz w:val="24"/>
        </w:rPr>
        <w:t>(</w:t>
      </w:r>
      <w:r w:rsidRPr="00461C8E">
        <w:rPr>
          <w:rFonts w:ascii="Times New Roman" w:hAnsi="Times New Roman" w:cs="Times New Roman"/>
          <w:noProof/>
          <w:sz w:val="24"/>
        </w:rPr>
        <w:t>2020)</w:t>
      </w:r>
      <w:r w:rsidRPr="00461C8E">
        <w:rPr>
          <w:rFonts w:ascii="Times New Roman" w:hAnsi="Times New Roman" w:cs="Times New Roman"/>
          <w:sz w:val="24"/>
        </w:rPr>
        <w:fldChar w:fldCharType="end"/>
      </w:r>
      <w:r>
        <w:rPr>
          <w:rFonts w:ascii="Times New Roman" w:hAnsi="Times New Roman" w:cs="Times New Roman"/>
          <w:sz w:val="24"/>
        </w:rPr>
        <w:t xml:space="preserve"> </w:t>
      </w:r>
      <w:r w:rsidR="00DD5BC2">
        <w:rPr>
          <w:rFonts w:ascii="Times New Roman" w:hAnsi="Times New Roman" w:cs="Times New Roman"/>
          <w:sz w:val="24"/>
        </w:rPr>
        <w:t>Found</w:t>
      </w:r>
      <w:r w:rsidRPr="006C387E">
        <w:rPr>
          <w:rFonts w:ascii="Times New Roman" w:hAnsi="Times New Roman" w:cs="Times New Roman"/>
          <w:sz w:val="24"/>
        </w:rPr>
        <w:t xml:space="preserve"> that third-party funds (TPF) have a positive effect on profitability, while</w:t>
      </w:r>
      <w:r>
        <w:rPr>
          <w:rFonts w:ascii="Times New Roman" w:hAnsi="Times New Roman" w:cs="Times New Roman"/>
          <w:sz w:val="24"/>
        </w:rPr>
        <w:t xml:space="preserve"> </w:t>
      </w:r>
      <w:r w:rsidRPr="00461C8E">
        <w:rPr>
          <w:rFonts w:ascii="Times New Roman" w:hAnsi="Times New Roman" w:cs="Times New Roman"/>
          <w:sz w:val="24"/>
        </w:rPr>
        <w:fldChar w:fldCharType="begin" w:fldLock="1"/>
      </w:r>
      <w:r w:rsidR="0014663C">
        <w:rPr>
          <w:rFonts w:ascii="Times New Roman" w:hAnsi="Times New Roman" w:cs="Times New Roman"/>
          <w:sz w:val="24"/>
        </w:rPr>
        <w:instrText>ADDIN CSL_CITATION {"citationItems":[{"id":"ITEM-1","itemData":{"abstract":"This research was conducted by Devita Yuniar with the title “Efect of Third Party Funds (DPK), Capital Adequacy Ratio (CAR), Non Performing Finance (NPF), and Operating Expenses to Operating Income (BOPO) on the Profitability of Sharia General Bank” under the guidance of Isna Yuningsih. The aim of study is to give an emptive line of effect on DPK, CAR, NPF, and BOPO on profitability of Sharia General Bank. It uses the kind of quantitative research. The method of analysis used is linier regression analysis. Research indicates variables DPK do not significantly affect the variables profitability, variables CAR do not significantly affect the variables profitability, variables NPF will affect the profitability variables, and variables BOPO will affect the profitability variables.","author":[{"dropping-particle":"","family":"Yuniar","given":"Devita","non-dropping-particle":"","parse-names":false,"suffix":""},{"dropping-particle":"","family":"Yuningsih","given":"Isna","non-dropping-particle":"","parse-names":false,"suffix":""}],"container-title":"JESM: Jurnal Ekonomi Syariah Mulawarman","id":"ITEM-1","issue":"1","issued":{"date-parts":[["2023"]]},"page":"27-36","title":"Pengaruh Dana Pihak Ketiga (DPK), Capital Adequacy Ratio (CAR), Non-Performing Financing (NPF) dan Biaya Operasional terhadap Pendapatan Operasional (BOPO) terhadap Profitabilitas pada Bank Umum Syariah","type":"article-journal","volume":"2"},"uris":["http://www.mendeley.com/documents/?uuid=a81a2783-bee4-42c6-994d-3f1df8897767","http://www.mendeley.com/documents/?uuid=4bf30c55-2f3c-4eff-b11a-cc09ce738eda"]}],"mendeley":{"formattedCitation":"(Yuniar and Yuningsih, 2023)","manualFormatting":"Yuniar &amp; Yuningsih (2023)","plainTextFormattedCitation":"(Yuniar and Yuningsih, 2023)","previouslyFormattedCitation":"(Yuniar and Yuningsih, 2023)"},"properties":{"noteIndex":0},"schema":"https://github.com/citation-style-language/schema/raw/master/csl-citation.json"}</w:instrText>
      </w:r>
      <w:r w:rsidRPr="00461C8E">
        <w:rPr>
          <w:rFonts w:ascii="Times New Roman" w:hAnsi="Times New Roman" w:cs="Times New Roman"/>
          <w:sz w:val="24"/>
        </w:rPr>
        <w:fldChar w:fldCharType="separate"/>
      </w:r>
      <w:r w:rsidRPr="00461C8E">
        <w:rPr>
          <w:rFonts w:ascii="Times New Roman" w:hAnsi="Times New Roman" w:cs="Times New Roman"/>
          <w:noProof/>
          <w:sz w:val="24"/>
        </w:rPr>
        <w:t xml:space="preserve">Yuniar and Yuningsih </w:t>
      </w:r>
      <w:r>
        <w:rPr>
          <w:rFonts w:ascii="Times New Roman" w:hAnsi="Times New Roman" w:cs="Times New Roman"/>
          <w:noProof/>
          <w:sz w:val="24"/>
        </w:rPr>
        <w:t>(</w:t>
      </w:r>
      <w:r w:rsidRPr="00461C8E">
        <w:rPr>
          <w:rFonts w:ascii="Times New Roman" w:hAnsi="Times New Roman" w:cs="Times New Roman"/>
          <w:noProof/>
          <w:sz w:val="24"/>
        </w:rPr>
        <w:t>2023)</w:t>
      </w:r>
      <w:r w:rsidRPr="00461C8E">
        <w:rPr>
          <w:rFonts w:ascii="Times New Roman" w:hAnsi="Times New Roman" w:cs="Times New Roman"/>
          <w:sz w:val="24"/>
        </w:rPr>
        <w:fldChar w:fldCharType="end"/>
      </w:r>
      <w:r>
        <w:rPr>
          <w:rFonts w:ascii="Times New Roman" w:hAnsi="Times New Roman" w:cs="Times New Roman"/>
          <w:sz w:val="24"/>
        </w:rPr>
        <w:t xml:space="preserve"> </w:t>
      </w:r>
      <w:r w:rsidR="00DD5BC2">
        <w:rPr>
          <w:rFonts w:ascii="Times New Roman" w:hAnsi="Times New Roman" w:cs="Times New Roman"/>
          <w:sz w:val="24"/>
        </w:rPr>
        <w:t>Concluded</w:t>
      </w:r>
      <w:r w:rsidRPr="006C387E">
        <w:rPr>
          <w:rFonts w:ascii="Times New Roman" w:hAnsi="Times New Roman" w:cs="Times New Roman"/>
          <w:sz w:val="24"/>
        </w:rPr>
        <w:t xml:space="preserve"> that TPF does not impact profitability. Other studies by</w:t>
      </w:r>
      <w:r>
        <w:rPr>
          <w:rFonts w:ascii="Times New Roman" w:hAnsi="Times New Roman" w:cs="Times New Roman"/>
          <w:sz w:val="24"/>
        </w:rPr>
        <w:t xml:space="preserve"> </w:t>
      </w:r>
      <w:r w:rsidRPr="00461C8E">
        <w:rPr>
          <w:rFonts w:ascii="Times New Roman" w:hAnsi="Times New Roman" w:cs="Times New Roman"/>
          <w:sz w:val="24"/>
        </w:rPr>
        <w:fldChar w:fldCharType="begin" w:fldLock="1"/>
      </w:r>
      <w:r w:rsidR="0014663C">
        <w:rPr>
          <w:rFonts w:ascii="Times New Roman" w:hAnsi="Times New Roman" w:cs="Times New Roman"/>
          <w:sz w:val="24"/>
        </w:rPr>
        <w:instrText>ADDIN CSL_CITATION {"citationItems":[{"id":"ITEM-1","itemData":{"author":[{"dropping-particle":"","family":"Modal","given":"Pengaruh Struktur","non-dropping-particle":"","parse-names":false,"suffix":""},{"dropping-particle":"","family":"Dan","given":"Kebijakan Dividen","non-dropping-particle":"","parse-names":false,"suffix":""},{"dropping-particle":"","family":"Candradewi","given":"Made Reina","non-dropping-particle":"","parse-names":false,"suffix":""}],"id":"ITEM-1","issue":"8","issued":{"date-parts":[["2019"]]},"page":"4871-4898","title":"LIKUIDITAS TERHADAP PROFITABILITAS PERUSAHAAN PERBANKAN DI BURSA EFEK INDONESIA Fakultas Ekonomi dan Bisnis Universitas Udayana ( Unud ), Bali , Indonesia ABSTRAK Profitabilitas merupakan salah satu tolok ukur keberhasilan suatu perusahaan . Profitabilita","type":"article-journal","volume":"8"},"uris":["http://www.mendeley.com/documents/?uuid=fbe42543-6799-4b45-ac07-b77408b3acb7","http://www.mendeley.com/documents/?uuid=e0fd9c86-8ff2-4ae1-9f2b-266f226b8b35"]}],"mendeley":{"formattedCitation":"(Modal, Dan, and Candradewi, 2019)","manualFormatting":"Modal et al. (2019)","plainTextFormattedCitation":"(Modal, Dan, and Candradewi, 2019)","previouslyFormattedCitation":"(Modal, Dan, and Candradewi, 2019)"},"properties":{"noteIndex":0},"schema":"https://github.com/citation-style-language/schema/raw/master/csl-citation.json"}</w:instrText>
      </w:r>
      <w:r w:rsidRPr="00461C8E">
        <w:rPr>
          <w:rFonts w:ascii="Times New Roman" w:hAnsi="Times New Roman" w:cs="Times New Roman"/>
          <w:sz w:val="24"/>
        </w:rPr>
        <w:fldChar w:fldCharType="separate"/>
      </w:r>
      <w:r w:rsidRPr="00461C8E">
        <w:rPr>
          <w:rFonts w:ascii="Times New Roman" w:hAnsi="Times New Roman" w:cs="Times New Roman"/>
          <w:noProof/>
          <w:sz w:val="24"/>
        </w:rPr>
        <w:t xml:space="preserve">Modal et al. </w:t>
      </w:r>
      <w:r>
        <w:rPr>
          <w:rFonts w:ascii="Times New Roman" w:hAnsi="Times New Roman" w:cs="Times New Roman"/>
          <w:noProof/>
          <w:sz w:val="24"/>
        </w:rPr>
        <w:t>(</w:t>
      </w:r>
      <w:r w:rsidRPr="00461C8E">
        <w:rPr>
          <w:rFonts w:ascii="Times New Roman" w:hAnsi="Times New Roman" w:cs="Times New Roman"/>
          <w:noProof/>
          <w:sz w:val="24"/>
        </w:rPr>
        <w:t>2019)</w:t>
      </w:r>
      <w:r w:rsidRPr="00461C8E">
        <w:rPr>
          <w:rFonts w:ascii="Times New Roman" w:hAnsi="Times New Roman" w:cs="Times New Roman"/>
          <w:sz w:val="24"/>
        </w:rPr>
        <w:fldChar w:fldCharType="end"/>
      </w:r>
      <w:r w:rsidRPr="00461C8E">
        <w:rPr>
          <w:rFonts w:ascii="Times New Roman" w:hAnsi="Times New Roman" w:cs="Times New Roman"/>
          <w:sz w:val="24"/>
        </w:rPr>
        <w:fldChar w:fldCharType="begin" w:fldLock="1"/>
      </w:r>
      <w:r w:rsidR="0014663C">
        <w:rPr>
          <w:rFonts w:ascii="Times New Roman" w:hAnsi="Times New Roman" w:cs="Times New Roman"/>
          <w:sz w:val="24"/>
        </w:rPr>
        <w:instrText>ADDIN CSL_CITATION {"citationItems":[{"id":"ITEM-1","itemData":{"author":[{"dropping-particle":"","family":"Muzakki","given":"Naufal","non-dropping-particle":"","parse-names":false,"suffix":""},{"dropping-particle":"","family":"Ulfah","given":"Yana","non-dropping-particle":"","parse-names":false,"suffix":""}],"id":"ITEM-1","issue":"4","issued":{"date-parts":[["2023"]]},"page":"924-931","title":"Pengaruh profitabilitas terhadap kebijakan dividen dengan likuiditas sebagai variabel moderasi","type":"article-journal","volume":"4"},"uris":["http://www.mendeley.com/documents/?uuid=811fca82-c36a-4978-8fbd-c372828d8605","http://www.mendeley.com/documents/?uuid=4a6d5495-28ae-4e43-8cd0-0588174e5fc1"]}],"mendeley":{"formattedCitation":"(Muzakki and Ulfah, 2023)","manualFormatting":" Muzakki &amp; Ulfah (2023)","plainTextFormattedCitation":"(Muzakki and Ulfah, 2023)","previouslyFormattedCitation":"(Muzakki and Ulfah, 2023)"},"properties":{"noteIndex":0},"schema":"https://github.com/citation-style-language/schema/raw/master/csl-citation.json"}</w:instrText>
      </w:r>
      <w:r w:rsidRPr="00461C8E">
        <w:rPr>
          <w:rFonts w:ascii="Times New Roman" w:hAnsi="Times New Roman" w:cs="Times New Roman"/>
          <w:sz w:val="24"/>
        </w:rPr>
        <w:fldChar w:fldCharType="separate"/>
      </w:r>
      <w:r>
        <w:rPr>
          <w:rFonts w:ascii="Times New Roman" w:hAnsi="Times New Roman" w:cs="Times New Roman"/>
          <w:noProof/>
          <w:sz w:val="24"/>
        </w:rPr>
        <w:t xml:space="preserve"> and </w:t>
      </w:r>
      <w:r w:rsidRPr="00461C8E">
        <w:rPr>
          <w:rFonts w:ascii="Times New Roman" w:hAnsi="Times New Roman" w:cs="Times New Roman"/>
          <w:noProof/>
          <w:sz w:val="24"/>
        </w:rPr>
        <w:t xml:space="preserve">Muzakki &amp; Ulfah </w:t>
      </w:r>
      <w:r>
        <w:rPr>
          <w:rFonts w:ascii="Times New Roman" w:hAnsi="Times New Roman" w:cs="Times New Roman"/>
          <w:noProof/>
          <w:sz w:val="24"/>
        </w:rPr>
        <w:t>(</w:t>
      </w:r>
      <w:r w:rsidRPr="00461C8E">
        <w:rPr>
          <w:rFonts w:ascii="Times New Roman" w:hAnsi="Times New Roman" w:cs="Times New Roman"/>
          <w:noProof/>
          <w:sz w:val="24"/>
        </w:rPr>
        <w:t>2023)</w:t>
      </w:r>
      <w:r w:rsidRPr="00461C8E">
        <w:rPr>
          <w:rFonts w:ascii="Times New Roman" w:hAnsi="Times New Roman" w:cs="Times New Roman"/>
          <w:sz w:val="24"/>
        </w:rPr>
        <w:fldChar w:fldCharType="end"/>
      </w:r>
      <w:r>
        <w:rPr>
          <w:rFonts w:ascii="Times New Roman" w:hAnsi="Times New Roman" w:cs="Times New Roman"/>
          <w:sz w:val="24"/>
        </w:rPr>
        <w:t xml:space="preserve"> </w:t>
      </w:r>
      <w:r w:rsidR="00DD5BC2">
        <w:rPr>
          <w:rFonts w:ascii="Times New Roman" w:hAnsi="Times New Roman" w:cs="Times New Roman"/>
          <w:sz w:val="24"/>
        </w:rPr>
        <w:t>Discovered</w:t>
      </w:r>
      <w:r w:rsidRPr="006C387E">
        <w:rPr>
          <w:rFonts w:ascii="Times New Roman" w:hAnsi="Times New Roman" w:cs="Times New Roman"/>
          <w:sz w:val="24"/>
        </w:rPr>
        <w:t xml:space="preserve"> that higher dividends can enhance investor confidence and access to external capital, which ultimately boosts profitability. However,</w:t>
      </w:r>
      <w:r>
        <w:rPr>
          <w:rFonts w:ascii="Times New Roman" w:hAnsi="Times New Roman" w:cs="Times New Roman"/>
          <w:sz w:val="24"/>
        </w:rPr>
        <w:t xml:space="preserve"> </w:t>
      </w:r>
      <w:r w:rsidR="00E91D3F" w:rsidRPr="00461C8E">
        <w:rPr>
          <w:rStyle w:val="FootnoteReference"/>
          <w:rFonts w:ascii="Times New Roman" w:hAnsi="Times New Roman" w:cs="Times New Roman"/>
          <w:sz w:val="24"/>
        </w:rPr>
        <w:fldChar w:fldCharType="begin" w:fldLock="1"/>
      </w:r>
      <w:r w:rsidR="0014663C">
        <w:rPr>
          <w:rFonts w:ascii="Times New Roman" w:hAnsi="Times New Roman" w:cs="Times New Roman"/>
          <w:sz w:val="24"/>
        </w:rPr>
        <w:instrText>ADDIN CSL_CITATION {"citationItems":[{"id":"ITEM-1","itemData":{"abstract":"Abstract This research aims to analyze the effect of dividend payout ratio, leverage andsales growth on the future pfofitability in companies listed on the Indonesia StockExchange 2011-2016. This research is intended for potential investors to be usedas a consideration in making investment decisions. This research used purposivesampling with total sample 2011-2016 equal to 492 samples of firm at IndonesiaStock Exchange. The analysis method used is multiple linier regression analysis.The results showed that leverage and sales growth positively related to futureprofitability, meanwhile dividend payout ratio negatively related to futureprofitability. Keywords: future profitability, dividend payout ratio, leverage, sales growth","author":[{"dropping-particle":"","family":"Henny","given":"Lintang Anugrah","non-dropping-particle":"","parse-names":false,"suffix":""}],"container-title":"Jurnal Akuntansi AKUNESA","id":"ITEM-1","issue":"3","issued":{"date-parts":[["2017"]]},"page":"43-68","title":"Pengaruh Kebijakan Dividen, Leverage dan Pertumbuhan Penjualan Terhadap Profitabilitas Pada Masa yang Akan Datang","type":"article-journal","volume":"5"},"uris":["http://www.mendeley.com/documents/?uuid=c3343a79-1ea3-4b9d-bde9-aa4781e5044e","http://www.mendeley.com/documents/?uuid=bc7396ac-b3aa-4f4c-81e8-2532fe292417"]}],"mendeley":{"formattedCitation":"(Henny, 2017)","manualFormatting":"Henny (2017)","plainTextFormattedCitation":"(Henny, 2017)","previouslyFormattedCitation":"(Henny, 2017)"},"properties":{"noteIndex":0},"schema":"https://github.com/citation-style-language/schema/raw/master/csl-citation.json"}</w:instrText>
      </w:r>
      <w:r w:rsidR="00E91D3F" w:rsidRPr="00461C8E">
        <w:rPr>
          <w:rStyle w:val="FootnoteReference"/>
          <w:rFonts w:ascii="Times New Roman" w:hAnsi="Times New Roman" w:cs="Times New Roman"/>
          <w:sz w:val="24"/>
        </w:rPr>
        <w:fldChar w:fldCharType="separate"/>
      </w:r>
      <w:r w:rsidR="00E91D3F" w:rsidRPr="00461C8E">
        <w:rPr>
          <w:rFonts w:ascii="Times New Roman" w:hAnsi="Times New Roman" w:cs="Times New Roman"/>
          <w:noProof/>
          <w:sz w:val="24"/>
        </w:rPr>
        <w:t xml:space="preserve">Henny </w:t>
      </w:r>
      <w:r w:rsidR="00E91D3F">
        <w:rPr>
          <w:rFonts w:ascii="Times New Roman" w:hAnsi="Times New Roman" w:cs="Times New Roman"/>
          <w:noProof/>
          <w:sz w:val="24"/>
        </w:rPr>
        <w:t>(</w:t>
      </w:r>
      <w:r w:rsidR="00E91D3F" w:rsidRPr="00461C8E">
        <w:rPr>
          <w:rFonts w:ascii="Times New Roman" w:hAnsi="Times New Roman" w:cs="Times New Roman"/>
          <w:noProof/>
          <w:sz w:val="24"/>
        </w:rPr>
        <w:t>2017)</w:t>
      </w:r>
      <w:r w:rsidR="00E91D3F" w:rsidRPr="00461C8E">
        <w:rPr>
          <w:rStyle w:val="FootnoteReference"/>
          <w:rFonts w:ascii="Times New Roman" w:hAnsi="Times New Roman" w:cs="Times New Roman"/>
          <w:sz w:val="24"/>
        </w:rPr>
        <w:fldChar w:fldCharType="end"/>
      </w:r>
      <w:r w:rsidR="00E91D3F">
        <w:rPr>
          <w:rFonts w:ascii="Times New Roman" w:hAnsi="Times New Roman" w:cs="Times New Roman"/>
          <w:sz w:val="24"/>
        </w:rPr>
        <w:t xml:space="preserve"> </w:t>
      </w:r>
      <w:r w:rsidR="00DD5BC2">
        <w:rPr>
          <w:rFonts w:ascii="Times New Roman" w:hAnsi="Times New Roman" w:cs="Times New Roman"/>
          <w:sz w:val="24"/>
        </w:rPr>
        <w:t>Found</w:t>
      </w:r>
      <w:r w:rsidRPr="006C387E">
        <w:rPr>
          <w:rFonts w:ascii="Times New Roman" w:hAnsi="Times New Roman" w:cs="Times New Roman"/>
          <w:sz w:val="24"/>
        </w:rPr>
        <w:t xml:space="preserve"> that dividend policy does not affect profitability</w:t>
      </w:r>
      <w:r w:rsidR="00E91D3F" w:rsidRPr="00E91D3F">
        <w:rPr>
          <w:rFonts w:ascii="Times New Roman" w:hAnsi="Times New Roman" w:cs="Times New Roman"/>
          <w:sz w:val="24"/>
        </w:rPr>
        <w:t>.</w:t>
      </w:r>
    </w:p>
    <w:p w14:paraId="6F7AFC89" w14:textId="77777777" w:rsidR="001C61F9" w:rsidRPr="00E91D3F" w:rsidRDefault="00BC2F61" w:rsidP="00E91D3F">
      <w:pPr>
        <w:pStyle w:val="ListParagraph"/>
        <w:spacing w:line="240" w:lineRule="auto"/>
        <w:ind w:left="0" w:firstLine="567"/>
        <w:jc w:val="both"/>
        <w:rPr>
          <w:rFonts w:ascii="Times New Roman" w:hAnsi="Times New Roman" w:cs="Times New Roman"/>
          <w:bCs/>
          <w:sz w:val="24"/>
          <w:szCs w:val="24"/>
        </w:rPr>
      </w:pPr>
      <w:r w:rsidRPr="006C387E">
        <w:rPr>
          <w:rFonts w:ascii="Times New Roman" w:hAnsi="Times New Roman" w:cs="Times New Roman"/>
          <w:bCs/>
          <w:sz w:val="24"/>
          <w:szCs w:val="24"/>
        </w:rPr>
        <w:t xml:space="preserve">This study aims to analyze the impact of bank size, </w:t>
      </w:r>
      <w:r w:rsidR="0039393A">
        <w:rPr>
          <w:rFonts w:ascii="Times New Roman" w:hAnsi="Times New Roman" w:cs="Times New Roman"/>
          <w:bCs/>
          <w:sz w:val="24"/>
          <w:szCs w:val="24"/>
          <w:lang w:val="en-US"/>
        </w:rPr>
        <w:t xml:space="preserve"> </w:t>
      </w:r>
      <w:r w:rsidRPr="006C387E">
        <w:rPr>
          <w:rFonts w:ascii="Times New Roman" w:hAnsi="Times New Roman" w:cs="Times New Roman"/>
          <w:bCs/>
          <w:sz w:val="24"/>
          <w:szCs w:val="24"/>
        </w:rPr>
        <w:t xml:space="preserve">third-party funds (TPF), and dividend policy on the profitability of Islamic banks in Asia, as well as to explain the simultaneous relationship between these three factors within the rapidly growing Islamic banking industry. By integrating these three key factors, this </w:t>
      </w:r>
      <w:r w:rsidRPr="006C387E">
        <w:rPr>
          <w:rFonts w:ascii="Times New Roman" w:hAnsi="Times New Roman" w:cs="Times New Roman"/>
          <w:bCs/>
          <w:sz w:val="24"/>
          <w:szCs w:val="24"/>
        </w:rPr>
        <w:lastRenderedPageBreak/>
        <w:t>research offers novelty in comprehensively analyzing the profitability of Islamic banks, bridging existing gaps in research. The findings of this study are expected to assist Islamic banks in developing more effective strategies to improve financial performance, provide better services to customers, and serve as a guide for regulators and policymakers in creating regulations that support the sustainable growth of the Islamic banking industry in Asia</w:t>
      </w:r>
      <w:r w:rsidR="00E91D3F" w:rsidRPr="00E91D3F">
        <w:rPr>
          <w:rFonts w:ascii="Times New Roman" w:hAnsi="Times New Roman" w:cs="Times New Roman"/>
          <w:bCs/>
          <w:sz w:val="24"/>
          <w:szCs w:val="24"/>
        </w:rPr>
        <w:t>.</w:t>
      </w:r>
    </w:p>
    <w:p w14:paraId="5C370163" w14:textId="77777777" w:rsidR="00636C67" w:rsidRPr="00E43FDB" w:rsidRDefault="00BC2F61" w:rsidP="001C61F9">
      <w:pPr>
        <w:jc w:val="both"/>
        <w:rPr>
          <w:b/>
          <w:sz w:val="28"/>
          <w:szCs w:val="28"/>
        </w:rPr>
      </w:pPr>
      <w:r w:rsidRPr="00E43FDB">
        <w:rPr>
          <w:b/>
          <w:sz w:val="28"/>
          <w:szCs w:val="28"/>
        </w:rPr>
        <w:t>Met</w:t>
      </w:r>
      <w:r w:rsidR="001C61F9">
        <w:rPr>
          <w:b/>
          <w:sz w:val="28"/>
          <w:szCs w:val="28"/>
        </w:rPr>
        <w:t>hodology</w:t>
      </w:r>
      <w:r w:rsidRPr="00E43FDB">
        <w:rPr>
          <w:b/>
          <w:sz w:val="28"/>
          <w:szCs w:val="28"/>
        </w:rPr>
        <w:t xml:space="preserve"> </w:t>
      </w:r>
    </w:p>
    <w:p w14:paraId="453D2947" w14:textId="77777777" w:rsidR="006C387E" w:rsidRPr="006C387E" w:rsidRDefault="00BC2F61" w:rsidP="006C387E">
      <w:pPr>
        <w:jc w:val="both"/>
        <w:rPr>
          <w:b/>
          <w:bCs/>
          <w:color w:val="000000"/>
          <w:sz w:val="24"/>
          <w:szCs w:val="24"/>
          <w:lang w:val="en-ID"/>
        </w:rPr>
      </w:pPr>
      <w:r w:rsidRPr="006C387E">
        <w:rPr>
          <w:b/>
          <w:bCs/>
          <w:color w:val="000000"/>
          <w:sz w:val="24"/>
          <w:szCs w:val="24"/>
          <w:lang w:val="en"/>
        </w:rPr>
        <w:t>Types of research</w:t>
      </w:r>
    </w:p>
    <w:p w14:paraId="56655B5D" w14:textId="598CAACE" w:rsidR="0014663C" w:rsidRDefault="00BC2F61" w:rsidP="0014663C">
      <w:pPr>
        <w:ind w:firstLine="567"/>
        <w:contextualSpacing/>
        <w:jc w:val="both"/>
        <w:rPr>
          <w:color w:val="000000"/>
          <w:sz w:val="24"/>
          <w:szCs w:val="24"/>
          <w:lang w:val="en-ID"/>
        </w:rPr>
      </w:pPr>
      <w:r w:rsidRPr="0014663C">
        <w:rPr>
          <w:b/>
          <w:noProof/>
          <w:sz w:val="28"/>
          <w:szCs w:val="28"/>
          <w:lang w:val="en-US"/>
        </w:rPr>
        <w:drawing>
          <wp:anchor distT="0" distB="0" distL="114300" distR="114300" simplePos="0" relativeHeight="251661312" behindDoc="0" locked="0" layoutInCell="1" allowOverlap="1" wp14:anchorId="19C00263" wp14:editId="76286142">
            <wp:simplePos x="0" y="0"/>
            <wp:positionH relativeFrom="column">
              <wp:posOffset>838200</wp:posOffset>
            </wp:positionH>
            <wp:positionV relativeFrom="paragraph">
              <wp:posOffset>1155007</wp:posOffset>
            </wp:positionV>
            <wp:extent cx="3360420" cy="1604010"/>
            <wp:effectExtent l="0" t="0" r="0" b="0"/>
            <wp:wrapTopAndBottom/>
            <wp:docPr id="6763649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364955" name=""/>
                    <pic:cNvPicPr/>
                  </pic:nvPicPr>
                  <pic:blipFill>
                    <a:blip r:embed="rId15">
                      <a:extLst>
                        <a:ext uri="{28A0092B-C50C-407E-A947-70E740481C1C}">
                          <a14:useLocalDpi xmlns:a14="http://schemas.microsoft.com/office/drawing/2010/main" val="0"/>
                        </a:ext>
                      </a:extLst>
                    </a:blip>
                    <a:stretch>
                      <a:fillRect/>
                    </a:stretch>
                  </pic:blipFill>
                  <pic:spPr>
                    <a:xfrm>
                      <a:off x="0" y="0"/>
                      <a:ext cx="3360420" cy="1604010"/>
                    </a:xfrm>
                    <a:prstGeom prst="rect">
                      <a:avLst/>
                    </a:prstGeom>
                  </pic:spPr>
                </pic:pic>
              </a:graphicData>
            </a:graphic>
          </wp:anchor>
        </w:drawing>
      </w:r>
      <w:r w:rsidRPr="006C387E">
        <w:rPr>
          <w:color w:val="000000"/>
          <w:sz w:val="24"/>
          <w:szCs w:val="24"/>
        </w:rPr>
        <w:t>This study employs a quantitative method, which produces numerical analysis processed using statistical techniques</w:t>
      </w:r>
      <w:r>
        <w:rPr>
          <w:color w:val="000000"/>
          <w:sz w:val="24"/>
          <w:szCs w:val="24"/>
        </w:rPr>
        <w:t xml:space="preserve"> </w:t>
      </w:r>
      <w:r w:rsidR="00AA68DC" w:rsidRPr="00AA68DC">
        <w:rPr>
          <w:color w:val="000000"/>
          <w:sz w:val="24"/>
          <w:szCs w:val="24"/>
          <w:lang w:val="en-ID"/>
        </w:rPr>
        <w:fldChar w:fldCharType="begin" w:fldLock="1"/>
      </w:r>
      <w:r>
        <w:rPr>
          <w:color w:val="000000"/>
          <w:sz w:val="24"/>
          <w:szCs w:val="24"/>
          <w:lang w:val="en-ID"/>
        </w:rPr>
        <w:instrText>ADDIN CSL_CITATION {"citationItems":[{"id":"ITEM-1","itemData":{"abstract":"The abstract purpose of this journal writing is that it USES quantitative research methods to collect data in Numbers that can be added into categories, in order of rank, and then measured in terms of measuring. This type of data can be used to make charts and mental data tables. The study is then used to test a teory and in the end support or reject it, researchers observe and form hypotheses in their efforts to explain a phenomenon. If a hypothesis passes the test many times, it could be a new scientific theory. The aim of this quantitative research method to develop mathematical models, theories and hypotheses associated with aphenomenon in which thw goal is to determine the link between variables within a population. The process of measurement provides a fundamental link between emoirical observation and the mathematics of the quantitative relationship.","author":[{"dropping-particle":"","family":"Ali","given":"M.Makhrus","non-dropping-particle":"","parse-names":false,"suffix":""},{"dropping-particle":"","family":"Hariyati","given":"Tri","non-dropping-particle":"","parse-names":false,"suffix":""},{"dropping-particle":"","family":"Pratiwi","given":"Meli Yudestia","non-dropping-particle":"","parse-names":false,"suffix":""},{"dropping-particle":"","family":"Afifah","given":"Siti","non-dropping-particle":"","parse-names":false,"suffix":""}],"container-title":"Education Journal.2022","id":"ITEM-1","issue":"2","issued":{"date-parts":[["2022"]]},"page":"1-6","title":"Metodologi Penelitian Kuantitatif dan Penerapannya dalam Penelitian","type":"article-journal","volume":"2"},"uris":["http://www.mendeley.com/documents/?uuid=a03412f8-b6c7-4d1c-b182-610b4d25206f","http://www.mendeley.com/documents/?uuid=3f27b2cb-d437-4b40-94e3-a2ed349d5320"]}],"mendeley":{"formattedCitation":"(Ali, Hariyati, Pratiwi, and Afifah, 2022)","manualFormatting":"(M. Ali et al., 2022)","plainTextFormattedCitation":"(Ali, Hariyati, Pratiwi, and Afifah, 2022)","previouslyFormattedCitation":"(Ali, Hariyati, Pratiwi, and Afifah, 2022)"},"properties":{"noteIndex":0},"schema":"https://github.com/citation-style-language/schema/raw/master/csl-citation.json"}</w:instrText>
      </w:r>
      <w:r w:rsidR="00AA68DC" w:rsidRPr="00AA68DC">
        <w:rPr>
          <w:color w:val="000000"/>
          <w:sz w:val="24"/>
          <w:szCs w:val="24"/>
          <w:lang w:val="en-ID"/>
        </w:rPr>
        <w:fldChar w:fldCharType="separate"/>
      </w:r>
      <w:r w:rsidR="00AA68DC" w:rsidRPr="00AA68DC">
        <w:rPr>
          <w:noProof/>
          <w:color w:val="000000"/>
          <w:sz w:val="24"/>
          <w:szCs w:val="24"/>
          <w:lang w:val="en-ID"/>
        </w:rPr>
        <w:t>(M. Ali et al., 2022)</w:t>
      </w:r>
      <w:r w:rsidR="00AA68DC" w:rsidRPr="00AA68DC">
        <w:rPr>
          <w:color w:val="000000"/>
          <w:sz w:val="24"/>
          <w:szCs w:val="24"/>
        </w:rPr>
        <w:fldChar w:fldCharType="end"/>
      </w:r>
      <w:r w:rsidR="00AA68DC" w:rsidRPr="00AA68DC">
        <w:rPr>
          <w:color w:val="000000"/>
          <w:sz w:val="24"/>
          <w:szCs w:val="24"/>
          <w:lang w:val="en-ID"/>
        </w:rPr>
        <w:t xml:space="preserve">. </w:t>
      </w:r>
      <w:r w:rsidRPr="006C387E">
        <w:rPr>
          <w:color w:val="000000"/>
          <w:sz w:val="24"/>
          <w:szCs w:val="24"/>
        </w:rPr>
        <w:t xml:space="preserve">The analytical technique used is </w:t>
      </w:r>
      <w:r w:rsidR="00DD5BC2">
        <w:rPr>
          <w:color w:val="000000"/>
          <w:sz w:val="24"/>
          <w:szCs w:val="24"/>
        </w:rPr>
        <w:t xml:space="preserve">multiple regression, which is </w:t>
      </w:r>
      <w:r w:rsidRPr="006C387E">
        <w:rPr>
          <w:color w:val="000000"/>
          <w:sz w:val="24"/>
          <w:szCs w:val="24"/>
        </w:rPr>
        <w:t>processed with Eviews software. The study adopts a descriptive approach, aiming to collect, analyze, and interpret data in a numerical or statistical format to describe and explain specific phenomena or variables</w:t>
      </w:r>
      <w:r w:rsidR="00AA68DC" w:rsidRPr="00AA68DC">
        <w:rPr>
          <w:color w:val="000000"/>
          <w:sz w:val="24"/>
          <w:szCs w:val="24"/>
          <w:lang w:val="en-ID"/>
        </w:rPr>
        <w:t xml:space="preserve"> objectively.</w:t>
      </w:r>
    </w:p>
    <w:p w14:paraId="096EDF12" w14:textId="77777777" w:rsidR="00AA68DC" w:rsidRPr="0014663C" w:rsidRDefault="00AA68DC" w:rsidP="0014663C">
      <w:pPr>
        <w:ind w:firstLine="567"/>
        <w:contextualSpacing/>
        <w:jc w:val="both"/>
        <w:rPr>
          <w:color w:val="000000"/>
          <w:sz w:val="24"/>
          <w:szCs w:val="24"/>
          <w:lang w:val="en-ID"/>
        </w:rPr>
      </w:pPr>
    </w:p>
    <w:p w14:paraId="7D7078AC" w14:textId="77777777" w:rsidR="00AA68DC" w:rsidRPr="006C387E" w:rsidRDefault="00BC2F61" w:rsidP="006C387E">
      <w:pPr>
        <w:contextualSpacing/>
        <w:jc w:val="center"/>
        <w:rPr>
          <w:bCs/>
          <w:sz w:val="24"/>
          <w:szCs w:val="24"/>
          <w:lang w:val="en-ID"/>
        </w:rPr>
      </w:pPr>
      <w:r w:rsidRPr="00AA68DC">
        <w:rPr>
          <w:b/>
          <w:sz w:val="24"/>
          <w:szCs w:val="24"/>
        </w:rPr>
        <w:t>Figure 1.</w:t>
      </w:r>
      <w:r>
        <w:rPr>
          <w:b/>
          <w:sz w:val="24"/>
          <w:szCs w:val="24"/>
        </w:rPr>
        <w:t xml:space="preserve"> </w:t>
      </w:r>
      <w:r w:rsidR="006C387E" w:rsidRPr="006C387E">
        <w:rPr>
          <w:bCs/>
          <w:sz w:val="24"/>
          <w:szCs w:val="24"/>
          <w:lang w:val="en"/>
        </w:rPr>
        <w:t>Conceptual Framework</w:t>
      </w:r>
    </w:p>
    <w:p w14:paraId="5ED25518" w14:textId="77777777" w:rsidR="0014663C" w:rsidRDefault="0014663C" w:rsidP="0014663C">
      <w:pPr>
        <w:contextualSpacing/>
        <w:rPr>
          <w:b/>
          <w:sz w:val="24"/>
          <w:szCs w:val="24"/>
        </w:rPr>
      </w:pPr>
    </w:p>
    <w:p w14:paraId="4617683D" w14:textId="77777777" w:rsidR="0014663C" w:rsidRPr="00A57485" w:rsidRDefault="00BC2F61" w:rsidP="0014663C">
      <w:pPr>
        <w:contextualSpacing/>
        <w:rPr>
          <w:b/>
          <w:sz w:val="24"/>
          <w:szCs w:val="24"/>
          <w:lang w:val="en-ID"/>
        </w:rPr>
      </w:pPr>
      <w:r w:rsidRPr="00A57485">
        <w:rPr>
          <w:b/>
          <w:sz w:val="24"/>
          <w:szCs w:val="24"/>
          <w:lang w:val="en"/>
        </w:rPr>
        <w:t>Population and Sample</w:t>
      </w:r>
    </w:p>
    <w:p w14:paraId="0B06C2EE" w14:textId="4B11F21B" w:rsidR="0014663C" w:rsidRDefault="00BC2F61" w:rsidP="0014663C">
      <w:pPr>
        <w:ind w:firstLine="567"/>
        <w:jc w:val="both"/>
        <w:rPr>
          <w:sz w:val="24"/>
        </w:rPr>
      </w:pPr>
      <w:r w:rsidRPr="00A57485">
        <w:rPr>
          <w:sz w:val="24"/>
        </w:rPr>
        <w:t>Population refers to the area of generalization that includes objects or subjects with specific qualities and characteristics determined by the researcher to be studied and analyzed</w:t>
      </w:r>
      <w:r>
        <w:rPr>
          <w:sz w:val="24"/>
        </w:rPr>
        <w:t xml:space="preserve"> </w:t>
      </w:r>
      <w:r>
        <w:rPr>
          <w:sz w:val="24"/>
        </w:rPr>
        <w:fldChar w:fldCharType="begin" w:fldLock="1"/>
      </w:r>
      <w:r w:rsidR="00445FA1">
        <w:rPr>
          <w:sz w:val="24"/>
        </w:rPr>
        <w:instrText>ADDIN CSL_CITATION {"citationItems":[{"id":"ITEM-1","itemData":{"abstract":"Persepsi adalah suatu proses pengenalan atau identifikasi sesuatu dengan menggunakan panca indera (Drever, 2010). persepsi merupakan inti komunikasi. Persepsi memiliki peran yang sangat penting dalam keberhasilan komunikasi. Artinya, kecermatan dalam mempersepsikan stimuli inderawi mengantarkan kepada keberhasilan komunikasi. Sebaliknya, kegagalan dalam mempersepsi stimulus, menyebabkan mis-komunikasi (Suranto, 2011)","author":[{"dropping-particle":"","family":"Sugiyono","given":"Sugiyono","non-dropping-particle":"","parse-names":false,"suffix":""}],"container-title":"ALFABETA","id":"ITEM-1","issued":{"date-parts":[["2017"]]},"title":"Metode Penelitian Kuantitatif, Kualitatif Dan R &amp; D","type":"article-journal"},"uris":["http://www.mendeley.com/documents/?uuid=d0269968-96f0-42b0-a874-a69acfc5706a"]}],"mendeley":{"formattedCitation":"(Sugiyono, 2017)","plainTextFormattedCitation":"(Sugiyono, 2017)","previouslyFormattedCitation":"(Sugiyono, 2017)"},"properties":{"noteIndex":0},"schema":"https://github.com/citation-style-language/schema/raw/master/csl-citation.json"}</w:instrText>
      </w:r>
      <w:r>
        <w:rPr>
          <w:sz w:val="24"/>
        </w:rPr>
        <w:fldChar w:fldCharType="separate"/>
      </w:r>
      <w:r w:rsidRPr="0014663C">
        <w:rPr>
          <w:noProof/>
          <w:sz w:val="24"/>
        </w:rPr>
        <w:t>(Sugiyono, 2017)</w:t>
      </w:r>
      <w:r>
        <w:rPr>
          <w:sz w:val="24"/>
        </w:rPr>
        <w:fldChar w:fldCharType="end"/>
      </w:r>
      <w:r w:rsidRPr="00461C8E">
        <w:rPr>
          <w:sz w:val="24"/>
        </w:rPr>
        <w:t xml:space="preserve">. </w:t>
      </w:r>
      <w:r w:rsidRPr="00A57485">
        <w:rPr>
          <w:sz w:val="24"/>
        </w:rPr>
        <w:t>Meanwhile, a sample is a subset of the population with specific quantity and characteristics. When the population is significant, and it is not feasible to study everything, researchers will use a sample</w:t>
      </w:r>
      <w:r>
        <w:rPr>
          <w:sz w:val="24"/>
        </w:rPr>
        <w:t xml:space="preserve"> </w:t>
      </w:r>
      <w:r>
        <w:rPr>
          <w:sz w:val="24"/>
        </w:rPr>
        <w:fldChar w:fldCharType="begin" w:fldLock="1"/>
      </w:r>
      <w:r w:rsidR="00445FA1">
        <w:rPr>
          <w:sz w:val="24"/>
        </w:rPr>
        <w:instrText>ADDIN CSL_CITATION {"citationItems":[{"id":"ITEM-1","itemData":{"abstract":"Persepsi adalah suatu proses pengenalan atau identifikasi sesuatu dengan menggunakan panca indera (Drever, 2010). persepsi merupakan inti komunikasi. Persepsi memiliki peran yang sangat penting dalam keberhasilan komunikasi. Artinya, kecermatan dalam mempersepsikan stimuli inderawi mengantarkan kepada keberhasilan komunikasi. Sebaliknya, kegagalan dalam mempersepsi stimulus, menyebabkan mis-komunikasi (Suranto, 2011)","author":[{"dropping-particle":"","family":"Sugiyono","given":"Sugiyono","non-dropping-particle":"","parse-names":false,"suffix":""}],"container-title":"ALFABETA","id":"ITEM-1","issued":{"date-parts":[["2017"]]},"title":"Metode Penelitian Kuantitatif, Kualitatif Dan R &amp; D","type":"article-journal"},"uris":["http://www.mendeley.com/documents/?uuid=d0269968-96f0-42b0-a874-a69acfc5706a"]}],"mendeley":{"formattedCitation":"(Sugiyono, 2017)","plainTextFormattedCitation":"(Sugiyono, 2017)","previouslyFormattedCitation":"(Sugiyono, 2017)"},"properties":{"noteIndex":0},"schema":"https://github.com/citation-style-language/schema/raw/master/csl-citation.json"}</w:instrText>
      </w:r>
      <w:r>
        <w:rPr>
          <w:sz w:val="24"/>
        </w:rPr>
        <w:fldChar w:fldCharType="separate"/>
      </w:r>
      <w:r w:rsidRPr="0014663C">
        <w:rPr>
          <w:noProof/>
          <w:sz w:val="24"/>
        </w:rPr>
        <w:t>(Sugiyono, 2017)</w:t>
      </w:r>
      <w:r>
        <w:rPr>
          <w:sz w:val="24"/>
        </w:rPr>
        <w:fldChar w:fldCharType="end"/>
      </w:r>
      <w:r w:rsidRPr="00461C8E">
        <w:rPr>
          <w:sz w:val="24"/>
        </w:rPr>
        <w:t>.</w:t>
      </w:r>
    </w:p>
    <w:p w14:paraId="1D70E4FA" w14:textId="0A81C6F6" w:rsidR="0014663C" w:rsidRDefault="00BC2F61" w:rsidP="0014663C">
      <w:pPr>
        <w:ind w:firstLine="567"/>
        <w:jc w:val="both"/>
        <w:rPr>
          <w:sz w:val="24"/>
        </w:rPr>
      </w:pPr>
      <w:r w:rsidRPr="00A57485">
        <w:rPr>
          <w:sz w:val="24"/>
        </w:rPr>
        <w:t>In this study, the population consists of the 128 largest active Islamic banks in the world, which are listed and consistently publish annual financial reports for the period 2019-2023 obtained from Bank Scope and WDI</w:t>
      </w:r>
      <w:r>
        <w:rPr>
          <w:sz w:val="24"/>
        </w:rPr>
        <w:t xml:space="preserve"> </w:t>
      </w:r>
      <w:r>
        <w:rPr>
          <w:sz w:val="24"/>
        </w:rPr>
        <w:fldChar w:fldCharType="begin" w:fldLock="1"/>
      </w:r>
      <w:r>
        <w:rPr>
          <w:sz w:val="24"/>
        </w:rPr>
        <w:instrText>ADDIN CSL_CITATION {"citationItems":[{"id":"ITEM-1","itemData":{"DOI":"10.12816/0047339","ISSN":"22892109","abstract":"… The main objective of this research is to examine the impact of bank-specific, market-specific and macroeconomic determinants on margins of Islamic banks in Asian countries. This …","author":[{"dropping-particle":"","family":"Pitchay","given":"Anwar Allah","non-dropping-particle":"","parse-names":false,"suffix":""},{"dropping-particle":"","family":"Malim","given":"Nurhafiza Abdul Kader","non-dropping-particle":"","parse-names":false,"suffix":""},{"dropping-particle":"","family":"Masron","given":"Tajul Ariffin","non-dropping-particle":"","parse-names":false,"suffix":""}],"container-title":"Journal of Islamic Finance","id":"ITEM-1","issue":"Special Issue","issued":{"date-parts":[["2017"]]},"page":"46-53","title":"Determinants of Islamic Banks’ Margins in Asian Countries","type":"article-journal","volume":"6"},"uris":["http://www.mendeley.com/documents/?uuid=de4bbc6c-2892-48b8-9599-2afa39d0dc72","http://www.mendeley.com/documents/?uuid=e7272665-e914-4482-9815-063cbcbc6503"]}],"mendeley":{"formattedCitation":"(Pitchay, Malim, and Masron, 2017)","plainTextFormattedCitation":"(Pitchay, Malim, and Masron, 2017)","previouslyFormattedCitation":"(Pitchay, Malim, and Masron, 2017)"},"properties":{"noteIndex":0},"schema":"https://github.com/citation-style-language/schema/raw/master/csl-citation.json"}</w:instrText>
      </w:r>
      <w:r>
        <w:rPr>
          <w:sz w:val="24"/>
        </w:rPr>
        <w:fldChar w:fldCharType="separate"/>
      </w:r>
      <w:r w:rsidRPr="0014663C">
        <w:rPr>
          <w:noProof/>
          <w:sz w:val="24"/>
        </w:rPr>
        <w:t>(Pitchay et al., 2017)</w:t>
      </w:r>
      <w:r>
        <w:rPr>
          <w:sz w:val="24"/>
        </w:rPr>
        <w:fldChar w:fldCharType="end"/>
      </w:r>
      <w:r>
        <w:rPr>
          <w:sz w:val="24"/>
        </w:rPr>
        <w:t xml:space="preserve">. </w:t>
      </w:r>
      <w:r w:rsidRPr="00A57485">
        <w:rPr>
          <w:sz w:val="24"/>
        </w:rPr>
        <w:t>From this population, the study applies a purposive sampling technique. Therefore, the sample includes 15 Islamic banks with the most significant asset values from each country, originating from 11 different countries</w:t>
      </w:r>
      <w:r w:rsidRPr="00461C8E">
        <w:rPr>
          <w:sz w:val="24"/>
        </w:rPr>
        <w:t>.</w:t>
      </w:r>
    </w:p>
    <w:p w14:paraId="0F0D0D5C" w14:textId="77777777" w:rsidR="0014663C" w:rsidRDefault="0014663C" w:rsidP="0014663C">
      <w:pPr>
        <w:jc w:val="both"/>
        <w:rPr>
          <w:sz w:val="24"/>
        </w:rPr>
      </w:pPr>
    </w:p>
    <w:p w14:paraId="02C6414A" w14:textId="77777777" w:rsidR="0014663C" w:rsidRDefault="00BC2F61" w:rsidP="0014663C">
      <w:pPr>
        <w:jc w:val="center"/>
        <w:rPr>
          <w:sz w:val="24"/>
        </w:rPr>
      </w:pPr>
      <w:r w:rsidRPr="0014663C">
        <w:rPr>
          <w:b/>
          <w:bCs/>
          <w:sz w:val="24"/>
        </w:rPr>
        <w:t>Tab</w:t>
      </w:r>
      <w:r w:rsidR="00A57485">
        <w:rPr>
          <w:b/>
          <w:bCs/>
          <w:sz w:val="24"/>
        </w:rPr>
        <w:t>le</w:t>
      </w:r>
      <w:r w:rsidRPr="0014663C">
        <w:rPr>
          <w:b/>
          <w:bCs/>
          <w:sz w:val="24"/>
        </w:rPr>
        <w:t xml:space="preserve"> 1</w:t>
      </w:r>
      <w:r>
        <w:rPr>
          <w:b/>
          <w:bCs/>
          <w:sz w:val="24"/>
        </w:rPr>
        <w:t xml:space="preserve">. </w:t>
      </w:r>
      <w:r w:rsidR="00A57485" w:rsidRPr="00A57485">
        <w:rPr>
          <w:sz w:val="24"/>
        </w:rPr>
        <w:t>Sampling Criteria</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963"/>
        <w:gridCol w:w="3964"/>
      </w:tblGrid>
      <w:tr w:rsidR="000B5092" w14:paraId="6809AEE8" w14:textId="77777777" w:rsidTr="00C17D52">
        <w:tc>
          <w:tcPr>
            <w:tcW w:w="3963" w:type="dxa"/>
          </w:tcPr>
          <w:p w14:paraId="0AC37693" w14:textId="77777777" w:rsidR="0014663C" w:rsidRPr="00A57485" w:rsidRDefault="00BC2F61" w:rsidP="00A57485">
            <w:pPr>
              <w:jc w:val="center"/>
              <w:rPr>
                <w:b/>
                <w:bCs/>
                <w:sz w:val="24"/>
                <w:szCs w:val="24"/>
                <w:lang w:val="en-ID"/>
              </w:rPr>
            </w:pPr>
            <w:r w:rsidRPr="00A57485">
              <w:rPr>
                <w:b/>
                <w:bCs/>
                <w:sz w:val="24"/>
                <w:szCs w:val="24"/>
                <w:lang w:val="en"/>
              </w:rPr>
              <w:t xml:space="preserve">Criteria for Determining Sample </w:t>
            </w:r>
          </w:p>
        </w:tc>
        <w:tc>
          <w:tcPr>
            <w:tcW w:w="3964" w:type="dxa"/>
          </w:tcPr>
          <w:p w14:paraId="07A88BD9" w14:textId="77777777" w:rsidR="0014663C" w:rsidRPr="00A57485" w:rsidRDefault="00BC2F61" w:rsidP="00A57485">
            <w:pPr>
              <w:jc w:val="center"/>
              <w:rPr>
                <w:b/>
                <w:bCs/>
                <w:sz w:val="24"/>
                <w:szCs w:val="24"/>
                <w:lang w:val="en-ID"/>
              </w:rPr>
            </w:pPr>
            <w:r w:rsidRPr="00A57485">
              <w:rPr>
                <w:b/>
                <w:bCs/>
                <w:sz w:val="24"/>
                <w:szCs w:val="24"/>
                <w:lang w:val="en"/>
              </w:rPr>
              <w:t>Number of Observations</w:t>
            </w:r>
          </w:p>
        </w:tc>
      </w:tr>
      <w:tr w:rsidR="000B5092" w14:paraId="7DE44363" w14:textId="77777777" w:rsidTr="00C17D52">
        <w:tc>
          <w:tcPr>
            <w:tcW w:w="3963" w:type="dxa"/>
          </w:tcPr>
          <w:p w14:paraId="5687D5DF" w14:textId="77777777" w:rsidR="0014663C" w:rsidRPr="00461C8E" w:rsidRDefault="00BC2F61" w:rsidP="00A34EE9">
            <w:pPr>
              <w:jc w:val="both"/>
              <w:rPr>
                <w:sz w:val="24"/>
                <w:szCs w:val="24"/>
              </w:rPr>
            </w:pPr>
            <w:r w:rsidRPr="00A57485">
              <w:rPr>
                <w:sz w:val="24"/>
                <w:szCs w:val="24"/>
              </w:rPr>
              <w:t>Sharia Bank in Asia, which has the most significant asset value and is registered with the IFSB</w:t>
            </w:r>
          </w:p>
        </w:tc>
        <w:tc>
          <w:tcPr>
            <w:tcW w:w="3964" w:type="dxa"/>
            <w:vAlign w:val="center"/>
          </w:tcPr>
          <w:p w14:paraId="3424ABEC" w14:textId="77777777" w:rsidR="0014663C" w:rsidRPr="00461C8E" w:rsidRDefault="00BC2F61" w:rsidP="0014663C">
            <w:pPr>
              <w:jc w:val="center"/>
              <w:rPr>
                <w:sz w:val="24"/>
                <w:szCs w:val="24"/>
              </w:rPr>
            </w:pPr>
            <w:r w:rsidRPr="00461C8E">
              <w:rPr>
                <w:sz w:val="24"/>
                <w:szCs w:val="24"/>
              </w:rPr>
              <w:t>1</w:t>
            </w:r>
            <w:r>
              <w:rPr>
                <w:sz w:val="24"/>
                <w:szCs w:val="24"/>
              </w:rPr>
              <w:t>28</w:t>
            </w:r>
          </w:p>
        </w:tc>
      </w:tr>
      <w:tr w:rsidR="000B5092" w14:paraId="2224504E" w14:textId="77777777" w:rsidTr="00C17D52">
        <w:tc>
          <w:tcPr>
            <w:tcW w:w="3963" w:type="dxa"/>
          </w:tcPr>
          <w:p w14:paraId="38FA382F" w14:textId="77777777" w:rsidR="0014663C" w:rsidRPr="00461C8E" w:rsidRDefault="00BC2F61" w:rsidP="00A34EE9">
            <w:pPr>
              <w:jc w:val="both"/>
              <w:rPr>
                <w:sz w:val="24"/>
                <w:szCs w:val="24"/>
              </w:rPr>
            </w:pPr>
            <w:r w:rsidRPr="00A57485">
              <w:rPr>
                <w:sz w:val="24"/>
                <w:szCs w:val="24"/>
              </w:rPr>
              <w:t xml:space="preserve">Sharia banks in Asia have assets of less than 5 billion dollars </w:t>
            </w:r>
            <w:r>
              <w:rPr>
                <w:sz w:val="24"/>
                <w:szCs w:val="24"/>
              </w:rPr>
              <w:fldChar w:fldCharType="begin" w:fldLock="1"/>
            </w:r>
            <w:r w:rsidR="00B73410">
              <w:rPr>
                <w:sz w:val="24"/>
                <w:szCs w:val="24"/>
              </w:rPr>
              <w:instrText>ADDIN CSL_CITATION {"citationItems":[{"id":"ITEM-1","itemData":{"DOI":"10.12816/0047339","ISSN":"22892109","abstract":"… The main objective of this research is to examine the impact of bank-specific, market-specific and macroeconomic determinants on margins of Islamic banks in Asian countries. This …","author":[{"dropping-particle":"","family":"Pitchay","given":"Anwar Allah","non-dropping-particle":"","parse-names":false,"suffix":""},{"dropping-particle":"","family":"Malim","given":"Nurhafiza Abdul Kader","non-dropping-particle":"","parse-names":false,"suffix":""},{"dropping-particle":"","family":"Masron","given":"Tajul Ariffin","non-dropping-particle":"","parse-names":false,"suffix":""}],"container-title":"Journal of Islamic Finance","id":"ITEM-1","issue":"Special Issue","issued":{"date-parts":[["2017"]]},"page":"46-53","title":"Determinants of Islamic Banks’ Margins in Asian Countries","type":"article-journal","volume":"6"},"uris":["http://www.mendeley.com/documents/?uuid=e7272665-e914-4482-9815-063cbcbc6503"]}],"mendeley":{"formattedCitation":"(Pitchay, Malim, and Masron, 2017)","plainTextFormattedCitation":"(Pitchay, Malim, and Masron, 2017)","previouslyFormattedCitation":"(Pitchay, Malim, and Masron, 2017)"},"properties":{"noteIndex":0},"schema":"https://github.com/citation-style-language/schema/raw/master/csl-citation.json"}</w:instrText>
            </w:r>
            <w:r>
              <w:rPr>
                <w:sz w:val="24"/>
                <w:szCs w:val="24"/>
              </w:rPr>
              <w:fldChar w:fldCharType="separate"/>
            </w:r>
            <w:r w:rsidR="00445FA1" w:rsidRPr="00445FA1">
              <w:rPr>
                <w:noProof/>
                <w:sz w:val="24"/>
                <w:szCs w:val="24"/>
              </w:rPr>
              <w:t>(Pitchay et al., 2017)</w:t>
            </w:r>
            <w:r>
              <w:rPr>
                <w:sz w:val="24"/>
                <w:szCs w:val="24"/>
              </w:rPr>
              <w:fldChar w:fldCharType="end"/>
            </w:r>
            <w:r>
              <w:rPr>
                <w:sz w:val="24"/>
                <w:szCs w:val="24"/>
              </w:rPr>
              <w:t>.</w:t>
            </w:r>
          </w:p>
        </w:tc>
        <w:tc>
          <w:tcPr>
            <w:tcW w:w="3964" w:type="dxa"/>
            <w:vAlign w:val="center"/>
          </w:tcPr>
          <w:p w14:paraId="724A296E" w14:textId="77777777" w:rsidR="0014663C" w:rsidRPr="00461C8E" w:rsidRDefault="00BC2F61" w:rsidP="0014663C">
            <w:pPr>
              <w:jc w:val="center"/>
              <w:rPr>
                <w:sz w:val="24"/>
                <w:szCs w:val="24"/>
              </w:rPr>
            </w:pPr>
            <w:r>
              <w:rPr>
                <w:sz w:val="24"/>
                <w:szCs w:val="24"/>
              </w:rPr>
              <w:t>( 90</w:t>
            </w:r>
            <w:r w:rsidRPr="00461C8E">
              <w:rPr>
                <w:sz w:val="24"/>
                <w:szCs w:val="24"/>
              </w:rPr>
              <w:t xml:space="preserve"> </w:t>
            </w:r>
            <w:r>
              <w:rPr>
                <w:sz w:val="24"/>
                <w:szCs w:val="24"/>
              </w:rPr>
              <w:t>)</w:t>
            </w:r>
          </w:p>
        </w:tc>
      </w:tr>
      <w:tr w:rsidR="000B5092" w14:paraId="70E44794" w14:textId="77777777" w:rsidTr="00C17D52">
        <w:tc>
          <w:tcPr>
            <w:tcW w:w="3963" w:type="dxa"/>
          </w:tcPr>
          <w:p w14:paraId="6629972D" w14:textId="77777777" w:rsidR="0014663C" w:rsidRPr="00461C8E" w:rsidRDefault="00BC2F61" w:rsidP="00A34EE9">
            <w:pPr>
              <w:tabs>
                <w:tab w:val="left" w:pos="1152"/>
              </w:tabs>
              <w:jc w:val="both"/>
              <w:rPr>
                <w:sz w:val="24"/>
                <w:szCs w:val="24"/>
              </w:rPr>
            </w:pPr>
            <w:r w:rsidRPr="00A57485">
              <w:rPr>
                <w:sz w:val="24"/>
                <w:szCs w:val="24"/>
              </w:rPr>
              <w:lastRenderedPageBreak/>
              <w:t>Availability of data from banks that publish financial reports</w:t>
            </w:r>
          </w:p>
        </w:tc>
        <w:tc>
          <w:tcPr>
            <w:tcW w:w="3964" w:type="dxa"/>
            <w:vAlign w:val="center"/>
          </w:tcPr>
          <w:p w14:paraId="64998731" w14:textId="77777777" w:rsidR="0014663C" w:rsidRPr="00461C8E" w:rsidRDefault="00BC2F61" w:rsidP="0014663C">
            <w:pPr>
              <w:jc w:val="center"/>
              <w:rPr>
                <w:sz w:val="24"/>
                <w:szCs w:val="24"/>
              </w:rPr>
            </w:pPr>
            <w:r>
              <w:rPr>
                <w:sz w:val="24"/>
                <w:szCs w:val="24"/>
              </w:rPr>
              <w:t>( 23 )</w:t>
            </w:r>
          </w:p>
        </w:tc>
      </w:tr>
      <w:tr w:rsidR="000B5092" w14:paraId="66B44868" w14:textId="77777777" w:rsidTr="00C17D52">
        <w:tc>
          <w:tcPr>
            <w:tcW w:w="3963" w:type="dxa"/>
          </w:tcPr>
          <w:p w14:paraId="009ADE5F" w14:textId="77777777" w:rsidR="0014663C" w:rsidRPr="00461C8E" w:rsidRDefault="00BC2F61" w:rsidP="00A34EE9">
            <w:pPr>
              <w:tabs>
                <w:tab w:val="left" w:pos="1152"/>
              </w:tabs>
              <w:jc w:val="both"/>
              <w:rPr>
                <w:sz w:val="24"/>
                <w:szCs w:val="24"/>
              </w:rPr>
            </w:pPr>
            <w:r>
              <w:rPr>
                <w:sz w:val="24"/>
                <w:szCs w:val="24"/>
              </w:rPr>
              <w:t>N</w:t>
            </w:r>
            <w:r w:rsidRPr="00A57485">
              <w:rPr>
                <w:sz w:val="24"/>
                <w:szCs w:val="24"/>
              </w:rPr>
              <w:t>umber of Sharia Bank samples</w:t>
            </w:r>
          </w:p>
        </w:tc>
        <w:tc>
          <w:tcPr>
            <w:tcW w:w="3964" w:type="dxa"/>
          </w:tcPr>
          <w:p w14:paraId="5051A1AD" w14:textId="77777777" w:rsidR="0014663C" w:rsidRDefault="00BC2F61" w:rsidP="00A34EE9">
            <w:pPr>
              <w:jc w:val="center"/>
              <w:rPr>
                <w:sz w:val="24"/>
                <w:szCs w:val="24"/>
              </w:rPr>
            </w:pPr>
            <w:r>
              <w:rPr>
                <w:sz w:val="24"/>
                <w:szCs w:val="24"/>
              </w:rPr>
              <w:t>15</w:t>
            </w:r>
          </w:p>
        </w:tc>
      </w:tr>
    </w:tbl>
    <w:p w14:paraId="2D4AABED" w14:textId="77777777" w:rsidR="0014663C" w:rsidRDefault="0014663C" w:rsidP="0014663C">
      <w:pPr>
        <w:jc w:val="center"/>
        <w:rPr>
          <w:b/>
          <w:bCs/>
          <w:sz w:val="24"/>
        </w:rPr>
      </w:pPr>
    </w:p>
    <w:p w14:paraId="24B27D63" w14:textId="77777777" w:rsidR="0014663C" w:rsidRDefault="00BC2F61" w:rsidP="0014663C">
      <w:pPr>
        <w:jc w:val="center"/>
        <w:rPr>
          <w:sz w:val="24"/>
        </w:rPr>
      </w:pPr>
      <w:r>
        <w:rPr>
          <w:b/>
          <w:bCs/>
          <w:sz w:val="24"/>
        </w:rPr>
        <w:t>Ta</w:t>
      </w:r>
      <w:r w:rsidR="00A57485">
        <w:rPr>
          <w:b/>
          <w:bCs/>
          <w:sz w:val="24"/>
        </w:rPr>
        <w:t>ble</w:t>
      </w:r>
      <w:r>
        <w:rPr>
          <w:b/>
          <w:bCs/>
          <w:sz w:val="24"/>
        </w:rPr>
        <w:t xml:space="preserve"> 2. </w:t>
      </w:r>
      <w:r w:rsidR="00A57485" w:rsidRPr="00A57485">
        <w:rPr>
          <w:sz w:val="24"/>
        </w:rPr>
        <w:t>Research sample</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963"/>
        <w:gridCol w:w="3964"/>
      </w:tblGrid>
      <w:tr w:rsidR="000B5092" w14:paraId="4CDF0D94" w14:textId="77777777" w:rsidTr="00C17D52">
        <w:tc>
          <w:tcPr>
            <w:tcW w:w="3963" w:type="dxa"/>
            <w:vAlign w:val="center"/>
          </w:tcPr>
          <w:p w14:paraId="6E811415" w14:textId="77777777" w:rsidR="0014663C" w:rsidRPr="00A67BCB" w:rsidRDefault="00BC2F61" w:rsidP="0014663C">
            <w:pPr>
              <w:spacing w:line="360" w:lineRule="auto"/>
              <w:jc w:val="center"/>
              <w:rPr>
                <w:b/>
                <w:bCs/>
                <w:sz w:val="24"/>
                <w:szCs w:val="24"/>
              </w:rPr>
            </w:pPr>
            <w:bookmarkStart w:id="1" w:name="_Hlk180176810"/>
            <w:r>
              <w:rPr>
                <w:b/>
                <w:bCs/>
                <w:sz w:val="24"/>
                <w:szCs w:val="24"/>
              </w:rPr>
              <w:t>Country</w:t>
            </w:r>
          </w:p>
        </w:tc>
        <w:tc>
          <w:tcPr>
            <w:tcW w:w="3964" w:type="dxa"/>
            <w:vAlign w:val="center"/>
          </w:tcPr>
          <w:p w14:paraId="68EC50A7" w14:textId="77777777" w:rsidR="0014663C" w:rsidRPr="00A67BCB" w:rsidRDefault="00BC2F61" w:rsidP="0014663C">
            <w:pPr>
              <w:spacing w:line="360" w:lineRule="auto"/>
              <w:jc w:val="center"/>
              <w:rPr>
                <w:b/>
                <w:bCs/>
                <w:sz w:val="24"/>
                <w:szCs w:val="24"/>
              </w:rPr>
            </w:pPr>
            <w:r>
              <w:rPr>
                <w:b/>
                <w:bCs/>
                <w:sz w:val="24"/>
                <w:szCs w:val="24"/>
              </w:rPr>
              <w:t>B</w:t>
            </w:r>
            <w:r w:rsidRPr="00A57485">
              <w:rPr>
                <w:b/>
                <w:bCs/>
                <w:sz w:val="24"/>
                <w:szCs w:val="24"/>
              </w:rPr>
              <w:t xml:space="preserve">ank </w:t>
            </w:r>
            <w:r>
              <w:rPr>
                <w:b/>
                <w:bCs/>
                <w:sz w:val="24"/>
                <w:szCs w:val="24"/>
              </w:rPr>
              <w:t>N</w:t>
            </w:r>
            <w:r w:rsidRPr="00A57485">
              <w:rPr>
                <w:b/>
                <w:bCs/>
                <w:sz w:val="24"/>
                <w:szCs w:val="24"/>
              </w:rPr>
              <w:t>ame</w:t>
            </w:r>
          </w:p>
        </w:tc>
      </w:tr>
      <w:tr w:rsidR="000B5092" w14:paraId="22216201" w14:textId="77777777" w:rsidTr="00C17D52">
        <w:tc>
          <w:tcPr>
            <w:tcW w:w="3963" w:type="dxa"/>
            <w:vAlign w:val="center"/>
          </w:tcPr>
          <w:p w14:paraId="2418CAB9" w14:textId="77777777" w:rsidR="0014663C" w:rsidRDefault="00BC2F61" w:rsidP="0014663C">
            <w:pPr>
              <w:spacing w:line="360" w:lineRule="auto"/>
              <w:jc w:val="center"/>
              <w:rPr>
                <w:sz w:val="24"/>
                <w:szCs w:val="24"/>
              </w:rPr>
            </w:pPr>
            <w:r>
              <w:rPr>
                <w:sz w:val="24"/>
                <w:szCs w:val="24"/>
              </w:rPr>
              <w:t>Saudi Arabia</w:t>
            </w:r>
          </w:p>
        </w:tc>
        <w:tc>
          <w:tcPr>
            <w:tcW w:w="3964" w:type="dxa"/>
            <w:vAlign w:val="center"/>
          </w:tcPr>
          <w:p w14:paraId="6625DA85" w14:textId="77777777" w:rsidR="0014663C" w:rsidRDefault="00BC2F61" w:rsidP="0014663C">
            <w:pPr>
              <w:spacing w:line="360" w:lineRule="auto"/>
              <w:jc w:val="center"/>
              <w:rPr>
                <w:sz w:val="24"/>
                <w:szCs w:val="24"/>
              </w:rPr>
            </w:pPr>
            <w:r>
              <w:rPr>
                <w:sz w:val="24"/>
                <w:szCs w:val="24"/>
              </w:rPr>
              <w:t>Al Rajhi bank</w:t>
            </w:r>
          </w:p>
          <w:p w14:paraId="553D0CD0" w14:textId="77777777" w:rsidR="0014663C" w:rsidRDefault="00BC2F61" w:rsidP="0014663C">
            <w:pPr>
              <w:spacing w:line="360" w:lineRule="auto"/>
              <w:jc w:val="center"/>
              <w:rPr>
                <w:sz w:val="24"/>
                <w:szCs w:val="24"/>
              </w:rPr>
            </w:pPr>
            <w:r>
              <w:rPr>
                <w:sz w:val="24"/>
                <w:szCs w:val="24"/>
              </w:rPr>
              <w:t>Alinma Bank</w:t>
            </w:r>
          </w:p>
        </w:tc>
      </w:tr>
      <w:tr w:rsidR="000B5092" w14:paraId="4B341C4F" w14:textId="77777777" w:rsidTr="00C17D52">
        <w:tc>
          <w:tcPr>
            <w:tcW w:w="3963" w:type="dxa"/>
            <w:vAlign w:val="center"/>
          </w:tcPr>
          <w:p w14:paraId="75B97D0D" w14:textId="77777777" w:rsidR="0014663C" w:rsidRDefault="00BC2F61" w:rsidP="0014663C">
            <w:pPr>
              <w:spacing w:line="360" w:lineRule="auto"/>
              <w:jc w:val="center"/>
              <w:rPr>
                <w:sz w:val="24"/>
                <w:szCs w:val="24"/>
              </w:rPr>
            </w:pPr>
            <w:r>
              <w:rPr>
                <w:sz w:val="24"/>
                <w:szCs w:val="24"/>
              </w:rPr>
              <w:t>Kuwait</w:t>
            </w:r>
          </w:p>
        </w:tc>
        <w:tc>
          <w:tcPr>
            <w:tcW w:w="3964" w:type="dxa"/>
            <w:vAlign w:val="center"/>
          </w:tcPr>
          <w:p w14:paraId="67FF60DE" w14:textId="77777777" w:rsidR="0014663C" w:rsidRDefault="00BC2F61" w:rsidP="0014663C">
            <w:pPr>
              <w:spacing w:line="360" w:lineRule="auto"/>
              <w:jc w:val="center"/>
              <w:rPr>
                <w:sz w:val="24"/>
                <w:szCs w:val="24"/>
              </w:rPr>
            </w:pPr>
            <w:r>
              <w:rPr>
                <w:sz w:val="24"/>
                <w:szCs w:val="24"/>
              </w:rPr>
              <w:t>Kuwait Finance House</w:t>
            </w:r>
          </w:p>
        </w:tc>
      </w:tr>
      <w:tr w:rsidR="000B5092" w14:paraId="70545F7D" w14:textId="77777777" w:rsidTr="00C17D52">
        <w:tc>
          <w:tcPr>
            <w:tcW w:w="3963" w:type="dxa"/>
            <w:vAlign w:val="center"/>
          </w:tcPr>
          <w:p w14:paraId="292EDF9D" w14:textId="77777777" w:rsidR="0014663C" w:rsidRDefault="00BC2F61" w:rsidP="0014663C">
            <w:pPr>
              <w:spacing w:line="360" w:lineRule="auto"/>
              <w:jc w:val="center"/>
              <w:rPr>
                <w:sz w:val="24"/>
                <w:szCs w:val="24"/>
              </w:rPr>
            </w:pPr>
            <w:r>
              <w:rPr>
                <w:sz w:val="24"/>
                <w:szCs w:val="24"/>
              </w:rPr>
              <w:t>Qatar</w:t>
            </w:r>
          </w:p>
        </w:tc>
        <w:tc>
          <w:tcPr>
            <w:tcW w:w="3964" w:type="dxa"/>
            <w:vAlign w:val="center"/>
          </w:tcPr>
          <w:p w14:paraId="06454682" w14:textId="77777777" w:rsidR="0014663C" w:rsidRDefault="00BC2F61" w:rsidP="0014663C">
            <w:pPr>
              <w:spacing w:line="360" w:lineRule="auto"/>
              <w:jc w:val="center"/>
              <w:rPr>
                <w:sz w:val="24"/>
                <w:szCs w:val="24"/>
              </w:rPr>
            </w:pPr>
            <w:r>
              <w:rPr>
                <w:sz w:val="24"/>
                <w:szCs w:val="24"/>
              </w:rPr>
              <w:t>Qatar Islamic Banking</w:t>
            </w:r>
          </w:p>
          <w:p w14:paraId="2AAE8CBF" w14:textId="77777777" w:rsidR="0014663C" w:rsidRDefault="00BC2F61" w:rsidP="0014663C">
            <w:pPr>
              <w:spacing w:line="360" w:lineRule="auto"/>
              <w:jc w:val="center"/>
              <w:rPr>
                <w:sz w:val="24"/>
                <w:szCs w:val="24"/>
              </w:rPr>
            </w:pPr>
            <w:r>
              <w:rPr>
                <w:sz w:val="24"/>
                <w:szCs w:val="24"/>
              </w:rPr>
              <w:t>Masraf Al Rayan</w:t>
            </w:r>
          </w:p>
          <w:p w14:paraId="055A329D" w14:textId="77777777" w:rsidR="0014663C" w:rsidRDefault="00BC2F61" w:rsidP="0014663C">
            <w:pPr>
              <w:spacing w:line="360" w:lineRule="auto"/>
              <w:jc w:val="center"/>
              <w:rPr>
                <w:sz w:val="24"/>
                <w:szCs w:val="24"/>
              </w:rPr>
            </w:pPr>
            <w:r>
              <w:rPr>
                <w:sz w:val="24"/>
                <w:szCs w:val="24"/>
              </w:rPr>
              <w:t>Dukhan Bank</w:t>
            </w:r>
          </w:p>
        </w:tc>
      </w:tr>
      <w:tr w:rsidR="000B5092" w14:paraId="155C6C86" w14:textId="77777777" w:rsidTr="00C17D52">
        <w:tc>
          <w:tcPr>
            <w:tcW w:w="3963" w:type="dxa"/>
            <w:vAlign w:val="center"/>
          </w:tcPr>
          <w:p w14:paraId="6FE02FED" w14:textId="77777777" w:rsidR="0014663C" w:rsidRDefault="00BC2F61" w:rsidP="0014663C">
            <w:pPr>
              <w:spacing w:line="360" w:lineRule="auto"/>
              <w:jc w:val="center"/>
              <w:rPr>
                <w:sz w:val="24"/>
                <w:szCs w:val="24"/>
              </w:rPr>
            </w:pPr>
            <w:r>
              <w:rPr>
                <w:sz w:val="24"/>
                <w:szCs w:val="24"/>
              </w:rPr>
              <w:t>Pakistan</w:t>
            </w:r>
          </w:p>
        </w:tc>
        <w:tc>
          <w:tcPr>
            <w:tcW w:w="3964" w:type="dxa"/>
            <w:vAlign w:val="center"/>
          </w:tcPr>
          <w:p w14:paraId="069B7822" w14:textId="77777777" w:rsidR="0014663C" w:rsidRDefault="00BC2F61" w:rsidP="0014663C">
            <w:pPr>
              <w:spacing w:line="360" w:lineRule="auto"/>
              <w:jc w:val="center"/>
              <w:rPr>
                <w:sz w:val="24"/>
                <w:szCs w:val="24"/>
              </w:rPr>
            </w:pPr>
            <w:r>
              <w:rPr>
                <w:sz w:val="24"/>
                <w:szCs w:val="24"/>
              </w:rPr>
              <w:t>Meezan Bank</w:t>
            </w:r>
          </w:p>
        </w:tc>
      </w:tr>
      <w:tr w:rsidR="000B5092" w14:paraId="25492643" w14:textId="77777777" w:rsidTr="00C17D52">
        <w:tc>
          <w:tcPr>
            <w:tcW w:w="3963" w:type="dxa"/>
            <w:vAlign w:val="center"/>
          </w:tcPr>
          <w:p w14:paraId="15BBFEB0" w14:textId="77777777" w:rsidR="0014663C" w:rsidRDefault="00BC2F61" w:rsidP="0014663C">
            <w:pPr>
              <w:spacing w:line="360" w:lineRule="auto"/>
              <w:jc w:val="center"/>
              <w:rPr>
                <w:sz w:val="24"/>
                <w:szCs w:val="24"/>
              </w:rPr>
            </w:pPr>
            <w:r>
              <w:rPr>
                <w:sz w:val="24"/>
                <w:szCs w:val="24"/>
              </w:rPr>
              <w:t>Indonesia</w:t>
            </w:r>
          </w:p>
        </w:tc>
        <w:tc>
          <w:tcPr>
            <w:tcW w:w="3964" w:type="dxa"/>
            <w:vAlign w:val="center"/>
          </w:tcPr>
          <w:p w14:paraId="68266DA4" w14:textId="77777777" w:rsidR="0014663C" w:rsidRDefault="00BC2F61" w:rsidP="0014663C">
            <w:pPr>
              <w:spacing w:line="360" w:lineRule="auto"/>
              <w:jc w:val="center"/>
              <w:rPr>
                <w:sz w:val="24"/>
                <w:szCs w:val="24"/>
              </w:rPr>
            </w:pPr>
            <w:r>
              <w:rPr>
                <w:sz w:val="24"/>
                <w:szCs w:val="24"/>
              </w:rPr>
              <w:t>Bank Muamalat Indonesia</w:t>
            </w:r>
          </w:p>
        </w:tc>
      </w:tr>
      <w:tr w:rsidR="000B5092" w14:paraId="7E6D3BE0" w14:textId="77777777" w:rsidTr="00C17D52">
        <w:tc>
          <w:tcPr>
            <w:tcW w:w="3963" w:type="dxa"/>
            <w:vAlign w:val="center"/>
          </w:tcPr>
          <w:p w14:paraId="024DB195" w14:textId="77777777" w:rsidR="0014663C" w:rsidRDefault="00BC2F61" w:rsidP="0014663C">
            <w:pPr>
              <w:spacing w:line="360" w:lineRule="auto"/>
              <w:jc w:val="center"/>
              <w:rPr>
                <w:sz w:val="24"/>
                <w:szCs w:val="24"/>
              </w:rPr>
            </w:pPr>
            <w:r>
              <w:rPr>
                <w:sz w:val="24"/>
                <w:szCs w:val="24"/>
              </w:rPr>
              <w:t>UAE</w:t>
            </w:r>
          </w:p>
        </w:tc>
        <w:tc>
          <w:tcPr>
            <w:tcW w:w="3964" w:type="dxa"/>
            <w:vAlign w:val="center"/>
          </w:tcPr>
          <w:p w14:paraId="79A2616A" w14:textId="77777777" w:rsidR="0014663C" w:rsidRDefault="00BC2F61" w:rsidP="0014663C">
            <w:pPr>
              <w:spacing w:line="360" w:lineRule="auto"/>
              <w:jc w:val="center"/>
              <w:rPr>
                <w:sz w:val="24"/>
                <w:szCs w:val="24"/>
              </w:rPr>
            </w:pPr>
            <w:r>
              <w:rPr>
                <w:sz w:val="24"/>
                <w:szCs w:val="24"/>
              </w:rPr>
              <w:t>Dubai Islamic Banking</w:t>
            </w:r>
          </w:p>
          <w:p w14:paraId="658019DE" w14:textId="77777777" w:rsidR="0014663C" w:rsidRDefault="00BC2F61" w:rsidP="0014663C">
            <w:pPr>
              <w:spacing w:line="360" w:lineRule="auto"/>
              <w:jc w:val="center"/>
              <w:rPr>
                <w:sz w:val="24"/>
                <w:szCs w:val="24"/>
              </w:rPr>
            </w:pPr>
            <w:r w:rsidRPr="00B25D5B">
              <w:rPr>
                <w:sz w:val="24"/>
                <w:szCs w:val="24"/>
              </w:rPr>
              <w:t>Emirates Islamic Bank</w:t>
            </w:r>
          </w:p>
        </w:tc>
      </w:tr>
      <w:tr w:rsidR="000B5092" w14:paraId="5BF8BB7E" w14:textId="77777777" w:rsidTr="00C17D52">
        <w:tc>
          <w:tcPr>
            <w:tcW w:w="3963" w:type="dxa"/>
            <w:vAlign w:val="center"/>
          </w:tcPr>
          <w:p w14:paraId="3F9F0599" w14:textId="77777777" w:rsidR="0014663C" w:rsidRDefault="00BC2F61" w:rsidP="0014663C">
            <w:pPr>
              <w:spacing w:line="360" w:lineRule="auto"/>
              <w:jc w:val="center"/>
              <w:rPr>
                <w:sz w:val="24"/>
                <w:szCs w:val="24"/>
              </w:rPr>
            </w:pPr>
            <w:r>
              <w:rPr>
                <w:sz w:val="24"/>
                <w:szCs w:val="24"/>
              </w:rPr>
              <w:t>Oman</w:t>
            </w:r>
          </w:p>
        </w:tc>
        <w:tc>
          <w:tcPr>
            <w:tcW w:w="3964" w:type="dxa"/>
            <w:vAlign w:val="center"/>
          </w:tcPr>
          <w:p w14:paraId="52A696EC" w14:textId="77777777" w:rsidR="0014663C" w:rsidRDefault="00BC2F61" w:rsidP="0014663C">
            <w:pPr>
              <w:spacing w:line="360" w:lineRule="auto"/>
              <w:jc w:val="center"/>
              <w:rPr>
                <w:sz w:val="24"/>
                <w:szCs w:val="24"/>
              </w:rPr>
            </w:pPr>
            <w:r>
              <w:rPr>
                <w:sz w:val="24"/>
                <w:szCs w:val="24"/>
              </w:rPr>
              <w:t>Bank Nizwa</w:t>
            </w:r>
          </w:p>
        </w:tc>
      </w:tr>
      <w:tr w:rsidR="000B5092" w14:paraId="00995F7E" w14:textId="77777777" w:rsidTr="00C17D52">
        <w:tc>
          <w:tcPr>
            <w:tcW w:w="3963" w:type="dxa"/>
            <w:vAlign w:val="center"/>
          </w:tcPr>
          <w:p w14:paraId="703DAFDB" w14:textId="77777777" w:rsidR="0014663C" w:rsidRDefault="00BC2F61" w:rsidP="0014663C">
            <w:pPr>
              <w:spacing w:line="360" w:lineRule="auto"/>
              <w:jc w:val="center"/>
              <w:rPr>
                <w:sz w:val="24"/>
                <w:szCs w:val="24"/>
              </w:rPr>
            </w:pPr>
            <w:r>
              <w:rPr>
                <w:sz w:val="24"/>
                <w:szCs w:val="24"/>
              </w:rPr>
              <w:t>Bahrain</w:t>
            </w:r>
          </w:p>
        </w:tc>
        <w:tc>
          <w:tcPr>
            <w:tcW w:w="3964" w:type="dxa"/>
            <w:vAlign w:val="center"/>
          </w:tcPr>
          <w:p w14:paraId="099051A8" w14:textId="77777777" w:rsidR="0014663C" w:rsidRDefault="00BC2F61" w:rsidP="0014663C">
            <w:pPr>
              <w:spacing w:line="360" w:lineRule="auto"/>
              <w:jc w:val="center"/>
              <w:rPr>
                <w:sz w:val="24"/>
                <w:szCs w:val="24"/>
              </w:rPr>
            </w:pPr>
            <w:r>
              <w:rPr>
                <w:sz w:val="24"/>
                <w:szCs w:val="24"/>
              </w:rPr>
              <w:t>Al Salam Bank</w:t>
            </w:r>
          </w:p>
        </w:tc>
      </w:tr>
      <w:tr w:rsidR="000B5092" w14:paraId="2F6A8B4E" w14:textId="77777777" w:rsidTr="00C17D52">
        <w:tc>
          <w:tcPr>
            <w:tcW w:w="3963" w:type="dxa"/>
            <w:vAlign w:val="center"/>
          </w:tcPr>
          <w:p w14:paraId="16F126DD" w14:textId="77777777" w:rsidR="0014663C" w:rsidRDefault="00BC2F61" w:rsidP="0014663C">
            <w:pPr>
              <w:spacing w:line="360" w:lineRule="auto"/>
              <w:jc w:val="center"/>
              <w:rPr>
                <w:sz w:val="24"/>
                <w:szCs w:val="24"/>
              </w:rPr>
            </w:pPr>
            <w:r>
              <w:rPr>
                <w:sz w:val="24"/>
                <w:szCs w:val="24"/>
              </w:rPr>
              <w:t>Iraq</w:t>
            </w:r>
          </w:p>
        </w:tc>
        <w:tc>
          <w:tcPr>
            <w:tcW w:w="3964" w:type="dxa"/>
            <w:vAlign w:val="center"/>
          </w:tcPr>
          <w:p w14:paraId="3C6CA7B4" w14:textId="77777777" w:rsidR="0014663C" w:rsidRDefault="00BC2F61" w:rsidP="0014663C">
            <w:pPr>
              <w:spacing w:line="360" w:lineRule="auto"/>
              <w:jc w:val="center"/>
              <w:rPr>
                <w:sz w:val="24"/>
                <w:szCs w:val="24"/>
              </w:rPr>
            </w:pPr>
            <w:r>
              <w:rPr>
                <w:sz w:val="24"/>
                <w:szCs w:val="24"/>
              </w:rPr>
              <w:t>International Development Bank</w:t>
            </w:r>
          </w:p>
        </w:tc>
      </w:tr>
      <w:tr w:rsidR="000B5092" w14:paraId="0CE24131" w14:textId="77777777" w:rsidTr="00C17D52">
        <w:tc>
          <w:tcPr>
            <w:tcW w:w="3963" w:type="dxa"/>
            <w:vAlign w:val="center"/>
          </w:tcPr>
          <w:p w14:paraId="256F0881" w14:textId="77777777" w:rsidR="0014663C" w:rsidRDefault="00BC2F61" w:rsidP="0014663C">
            <w:pPr>
              <w:spacing w:line="360" w:lineRule="auto"/>
              <w:jc w:val="center"/>
              <w:rPr>
                <w:sz w:val="24"/>
                <w:szCs w:val="24"/>
              </w:rPr>
            </w:pPr>
            <w:r>
              <w:rPr>
                <w:sz w:val="24"/>
                <w:szCs w:val="24"/>
              </w:rPr>
              <w:t>IBBL</w:t>
            </w:r>
          </w:p>
        </w:tc>
        <w:tc>
          <w:tcPr>
            <w:tcW w:w="3964" w:type="dxa"/>
            <w:vAlign w:val="center"/>
          </w:tcPr>
          <w:p w14:paraId="2FA5F62F" w14:textId="77777777" w:rsidR="0014663C" w:rsidRDefault="00BC2F61" w:rsidP="0014663C">
            <w:pPr>
              <w:spacing w:line="360" w:lineRule="auto"/>
              <w:jc w:val="center"/>
              <w:rPr>
                <w:sz w:val="24"/>
                <w:szCs w:val="24"/>
              </w:rPr>
            </w:pPr>
            <w:r>
              <w:rPr>
                <w:sz w:val="24"/>
                <w:szCs w:val="24"/>
              </w:rPr>
              <w:t>Bangladesh</w:t>
            </w:r>
          </w:p>
        </w:tc>
      </w:tr>
      <w:tr w:rsidR="000B5092" w14:paraId="2DE22582" w14:textId="77777777" w:rsidTr="00C17D52">
        <w:tc>
          <w:tcPr>
            <w:tcW w:w="3963" w:type="dxa"/>
            <w:vAlign w:val="center"/>
          </w:tcPr>
          <w:p w14:paraId="5EEBBFA7" w14:textId="77777777" w:rsidR="0014663C" w:rsidRDefault="00BC2F61" w:rsidP="0014663C">
            <w:pPr>
              <w:spacing w:line="360" w:lineRule="auto"/>
              <w:jc w:val="center"/>
              <w:rPr>
                <w:sz w:val="24"/>
                <w:szCs w:val="24"/>
              </w:rPr>
            </w:pPr>
            <w:r>
              <w:rPr>
                <w:sz w:val="24"/>
                <w:szCs w:val="24"/>
              </w:rPr>
              <w:t>Turki</w:t>
            </w:r>
          </w:p>
        </w:tc>
        <w:tc>
          <w:tcPr>
            <w:tcW w:w="3964" w:type="dxa"/>
            <w:vAlign w:val="center"/>
          </w:tcPr>
          <w:p w14:paraId="1524551E" w14:textId="77777777" w:rsidR="0014663C" w:rsidRDefault="00BC2F61" w:rsidP="0014663C">
            <w:pPr>
              <w:spacing w:line="360" w:lineRule="auto"/>
              <w:jc w:val="center"/>
              <w:rPr>
                <w:sz w:val="24"/>
                <w:szCs w:val="24"/>
              </w:rPr>
            </w:pPr>
            <w:r w:rsidRPr="00376E15">
              <w:rPr>
                <w:sz w:val="24"/>
                <w:szCs w:val="24"/>
              </w:rPr>
              <w:t>Albaraka Turk Katilim Bankasi</w:t>
            </w:r>
          </w:p>
        </w:tc>
      </w:tr>
      <w:bookmarkEnd w:id="1"/>
    </w:tbl>
    <w:p w14:paraId="57C5BC40" w14:textId="77777777" w:rsidR="0014663C" w:rsidRPr="0014663C" w:rsidRDefault="0014663C" w:rsidP="0014663C">
      <w:pPr>
        <w:jc w:val="center"/>
        <w:rPr>
          <w:sz w:val="24"/>
        </w:rPr>
      </w:pPr>
    </w:p>
    <w:p w14:paraId="57D3BCCA" w14:textId="77777777" w:rsidR="0014663C" w:rsidRDefault="00BC2F61" w:rsidP="0014663C">
      <w:pPr>
        <w:contextualSpacing/>
        <w:rPr>
          <w:b/>
          <w:sz w:val="24"/>
          <w:szCs w:val="24"/>
        </w:rPr>
      </w:pPr>
      <w:r>
        <w:rPr>
          <w:b/>
          <w:sz w:val="24"/>
          <w:szCs w:val="24"/>
        </w:rPr>
        <w:t>D</w:t>
      </w:r>
      <w:r w:rsidRPr="00A57485">
        <w:rPr>
          <w:b/>
          <w:sz w:val="24"/>
          <w:szCs w:val="24"/>
        </w:rPr>
        <w:t xml:space="preserve">ata and </w:t>
      </w:r>
      <w:r>
        <w:rPr>
          <w:b/>
          <w:sz w:val="24"/>
          <w:szCs w:val="24"/>
        </w:rPr>
        <w:t>D</w:t>
      </w:r>
      <w:r w:rsidRPr="00A57485">
        <w:rPr>
          <w:b/>
          <w:sz w:val="24"/>
          <w:szCs w:val="24"/>
        </w:rPr>
        <w:t xml:space="preserve">ata </w:t>
      </w:r>
      <w:r>
        <w:rPr>
          <w:b/>
          <w:sz w:val="24"/>
          <w:szCs w:val="24"/>
        </w:rPr>
        <w:t>T</w:t>
      </w:r>
      <w:r w:rsidRPr="00A57485">
        <w:rPr>
          <w:b/>
          <w:sz w:val="24"/>
          <w:szCs w:val="24"/>
        </w:rPr>
        <w:t>ypes</w:t>
      </w:r>
    </w:p>
    <w:p w14:paraId="70FE6D8B" w14:textId="53CB1BA8" w:rsidR="0014663C" w:rsidRDefault="00BC2F61" w:rsidP="0014663C">
      <w:pPr>
        <w:ind w:firstLine="567"/>
        <w:contextualSpacing/>
        <w:jc w:val="both"/>
        <w:rPr>
          <w:sz w:val="24"/>
          <w:szCs w:val="24"/>
        </w:rPr>
      </w:pPr>
      <w:r w:rsidRPr="00137397">
        <w:rPr>
          <w:sz w:val="24"/>
          <w:szCs w:val="24"/>
        </w:rPr>
        <w:t xml:space="preserve">Data refers to raw information that needs to be processed to have value for the recipient. It can be presented in various forms, such as numbers, letters, or symbols, and serves as the </w:t>
      </w:r>
      <w:r w:rsidR="00DD5BC2">
        <w:rPr>
          <w:sz w:val="24"/>
          <w:szCs w:val="24"/>
        </w:rPr>
        <w:t>essential</w:t>
      </w:r>
      <w:r w:rsidRPr="00137397">
        <w:rPr>
          <w:sz w:val="24"/>
          <w:szCs w:val="24"/>
        </w:rPr>
        <w:t xml:space="preserve"> element to represent specific contexts, objects, or events</w:t>
      </w:r>
      <w:r>
        <w:rPr>
          <w:sz w:val="24"/>
          <w:szCs w:val="24"/>
        </w:rPr>
        <w:t xml:space="preserve"> </w:t>
      </w:r>
      <w:r w:rsidR="00166A88" w:rsidRPr="00166A88">
        <w:rPr>
          <w:sz w:val="24"/>
          <w:szCs w:val="24"/>
          <w:lang w:val="en-US"/>
        </w:rPr>
        <w:fldChar w:fldCharType="begin" w:fldLock="1"/>
      </w:r>
      <w:r w:rsidR="00166A88" w:rsidRPr="00166A88">
        <w:rPr>
          <w:sz w:val="24"/>
          <w:szCs w:val="24"/>
          <w:lang w:val="en-US"/>
        </w:rPr>
        <w:instrText>ADDIN CSL_CITATION {"citationItems":[{"id":"ITEM-1","itemData":{"ISBN":"602180645X","author":[{"dropping-particle":"","family":"Romdhoni","given":"Ali","non-dropping-particle":"","parse-names":false,"suffix":""}],"id":"ITEM-1","issued":{"date-parts":[["2019"]]},"publisher":"Literatur Nusantara","title":"Semiotik Metodologi Penelitian","type":"book"},"uris":["http://www.mendeley.com/documents/?uuid=b7735c6e-7a42-4c96-b846-85a7dc348373","http://www.mendeley.com/documents/?uuid=0a3e1f8d-8535-4be8-a5e8-9046a6fbd208"]}],"mendeley":{"formattedCitation":"(Romdhoni, 2019)","plainTextFormattedCitation":"(Romdhoni, 2019)","previouslyFormattedCitation":"(Romdhoni, 2019)"},"properties":{"noteIndex":0},"schema":"https://github.com/citation-style-language/schema/raw/master/csl-citation.json"}</w:instrText>
      </w:r>
      <w:r w:rsidR="00166A88" w:rsidRPr="00166A88">
        <w:rPr>
          <w:sz w:val="24"/>
          <w:szCs w:val="24"/>
          <w:lang w:val="en-US"/>
        </w:rPr>
        <w:fldChar w:fldCharType="separate"/>
      </w:r>
      <w:r w:rsidR="00166A88" w:rsidRPr="00166A88">
        <w:rPr>
          <w:noProof/>
          <w:sz w:val="24"/>
          <w:szCs w:val="24"/>
          <w:lang w:val="en-US"/>
        </w:rPr>
        <w:t>(Romdhoni, 2019)</w:t>
      </w:r>
      <w:r w:rsidR="00166A88" w:rsidRPr="00166A88">
        <w:rPr>
          <w:sz w:val="24"/>
          <w:szCs w:val="24"/>
        </w:rPr>
        <w:fldChar w:fldCharType="end"/>
      </w:r>
      <w:r w:rsidR="00166A88" w:rsidRPr="00166A88">
        <w:rPr>
          <w:sz w:val="24"/>
          <w:szCs w:val="24"/>
        </w:rPr>
        <w:t xml:space="preserve">. </w:t>
      </w:r>
      <w:r w:rsidRPr="00137397">
        <w:rPr>
          <w:sz w:val="24"/>
          <w:szCs w:val="24"/>
        </w:rPr>
        <w:t>This study uses panel data, which is a combination of time series and cross-sectional data collected annually from 2017 to 2023. The data used is secondary data obtained from previously available sources</w:t>
      </w:r>
      <w:r w:rsidR="00166A88" w:rsidRPr="00166A88">
        <w:rPr>
          <w:sz w:val="24"/>
          <w:szCs w:val="24"/>
        </w:rPr>
        <w:t xml:space="preserve"> </w:t>
      </w:r>
      <w:r w:rsidR="00166A88" w:rsidRPr="00166A88">
        <w:rPr>
          <w:sz w:val="24"/>
          <w:szCs w:val="24"/>
          <w:lang w:val="en-US"/>
        </w:rPr>
        <w:fldChar w:fldCharType="begin" w:fldLock="1"/>
      </w:r>
      <w:r w:rsidR="00166A88" w:rsidRPr="00166A88">
        <w:rPr>
          <w:sz w:val="24"/>
          <w:szCs w:val="24"/>
          <w:lang w:val="en-US"/>
        </w:rPr>
        <w:instrText>ADDIN CSL_CITATION {"citationItems":[{"id":"ITEM-1","itemData":{"abstract":"Persepsi adalah suatu proses pengenalan atau identifikasi sesuatu dengan menggunakan panca indera (Drever, 2010). persepsi merupakan inti komunikasi. Persepsi memiliki peran yang sangat penting dalam keberhasilan komunikasi. Artinya, kecermatan dalam mempersepsikan stimuli inderawi mengantarkan kepada keberhasilan komunikasi. Sebaliknya, kegagalan dalam mempersepsi stimulus, menyebabkan mis-komunikasi (Suranto, 2011)","author":[{"dropping-particle":"","family":"Sugiyono","given":"Sugiyono","non-dropping-particle":"","parse-names":false,"suffix":""}],"container-title":"ALFABETA","id":"ITEM-1","issued":{"date-parts":[["2017"]]},"title":"Metode Penelitian Kuantitatif, Kualitatif Dan R &amp; D","type":"article-journal"},"uris":["http://www.mendeley.com/documents/?uuid=d0269968-96f0-42b0-a874-a69acfc5706a","http://www.mendeley.com/documents/?uuid=6fdd22da-aa76-4d3d-ab3e-d5612c2ea954"]}],"mendeley":{"formattedCitation":"(Sugiyono, 2017)","plainTextFormattedCitation":"(Sugiyono, 2017)","previouslyFormattedCitation":"(Sugiyono, 2017)"},"properties":{"noteIndex":0},"schema":"https://github.com/citation-style-language/schema/raw/master/csl-citation.json"}</w:instrText>
      </w:r>
      <w:r w:rsidR="00166A88" w:rsidRPr="00166A88">
        <w:rPr>
          <w:sz w:val="24"/>
          <w:szCs w:val="24"/>
          <w:lang w:val="en-US"/>
        </w:rPr>
        <w:fldChar w:fldCharType="separate"/>
      </w:r>
      <w:r w:rsidR="00166A88" w:rsidRPr="00166A88">
        <w:rPr>
          <w:noProof/>
          <w:sz w:val="24"/>
          <w:szCs w:val="24"/>
          <w:lang w:val="en-US"/>
        </w:rPr>
        <w:t>(Sugiyono, 2017)</w:t>
      </w:r>
      <w:r w:rsidR="00166A88" w:rsidRPr="00166A88">
        <w:rPr>
          <w:sz w:val="24"/>
          <w:szCs w:val="24"/>
        </w:rPr>
        <w:fldChar w:fldCharType="end"/>
      </w:r>
      <w:r w:rsidR="00166A88" w:rsidRPr="00166A88">
        <w:rPr>
          <w:sz w:val="24"/>
          <w:szCs w:val="24"/>
        </w:rPr>
        <w:t xml:space="preserve">. </w:t>
      </w:r>
      <w:r w:rsidRPr="00137397">
        <w:rPr>
          <w:sz w:val="24"/>
          <w:szCs w:val="24"/>
        </w:rPr>
        <w:t>In this case, the researcher utilizes financial reports published by Islamic banks on their websites to support further analysis and research</w:t>
      </w:r>
      <w:r w:rsidR="00166A88" w:rsidRPr="00166A88">
        <w:rPr>
          <w:sz w:val="24"/>
          <w:szCs w:val="24"/>
        </w:rPr>
        <w:t>.</w:t>
      </w:r>
    </w:p>
    <w:p w14:paraId="6BBD575E" w14:textId="77777777" w:rsidR="00166A88" w:rsidRDefault="00166A88" w:rsidP="00166A88">
      <w:pPr>
        <w:contextualSpacing/>
        <w:jc w:val="both"/>
        <w:rPr>
          <w:sz w:val="24"/>
          <w:szCs w:val="24"/>
        </w:rPr>
      </w:pPr>
    </w:p>
    <w:p w14:paraId="59CDA450" w14:textId="77777777" w:rsidR="00166A88" w:rsidRDefault="00BC2F61" w:rsidP="00166A88">
      <w:pPr>
        <w:contextualSpacing/>
        <w:jc w:val="both"/>
        <w:rPr>
          <w:b/>
          <w:bCs/>
          <w:sz w:val="24"/>
          <w:szCs w:val="24"/>
        </w:rPr>
      </w:pPr>
      <w:r w:rsidRPr="007C1B52">
        <w:rPr>
          <w:b/>
          <w:bCs/>
          <w:sz w:val="24"/>
          <w:szCs w:val="24"/>
        </w:rPr>
        <w:t>Definition of Operational Variables</w:t>
      </w:r>
    </w:p>
    <w:p w14:paraId="412571F2" w14:textId="77777777" w:rsidR="00166A88" w:rsidRPr="00461C8E" w:rsidRDefault="00BC2F61" w:rsidP="00166A88">
      <w:pPr>
        <w:ind w:firstLine="720"/>
        <w:jc w:val="both"/>
        <w:rPr>
          <w:sz w:val="24"/>
          <w:szCs w:val="24"/>
        </w:rPr>
      </w:pPr>
      <w:r w:rsidRPr="00137397">
        <w:rPr>
          <w:sz w:val="24"/>
          <w:szCs w:val="24"/>
        </w:rPr>
        <w:t>In this study, the factors influencing the profitability of Islamic banks (Y) are Size, Third-Party Funds, and Dividend Policy. Through regression analysis of each independent variable and its associated variable, the impact of each factor on profitability will be examined</w:t>
      </w:r>
      <w:r w:rsidRPr="00461C8E">
        <w:rPr>
          <w:sz w:val="24"/>
          <w:szCs w:val="24"/>
        </w:rPr>
        <w:t>.</w:t>
      </w:r>
    </w:p>
    <w:p w14:paraId="5491256F" w14:textId="77777777" w:rsidR="00166A88" w:rsidRDefault="00166A88" w:rsidP="00166A88">
      <w:pPr>
        <w:contextualSpacing/>
        <w:jc w:val="both"/>
        <w:rPr>
          <w:sz w:val="24"/>
          <w:szCs w:val="24"/>
        </w:rPr>
      </w:pPr>
    </w:p>
    <w:p w14:paraId="5F55E8F7" w14:textId="77777777" w:rsidR="00137397" w:rsidRDefault="00137397" w:rsidP="00166A88">
      <w:pPr>
        <w:contextualSpacing/>
        <w:jc w:val="both"/>
        <w:rPr>
          <w:sz w:val="24"/>
          <w:szCs w:val="24"/>
        </w:rPr>
      </w:pPr>
    </w:p>
    <w:p w14:paraId="7DD73D2B" w14:textId="77777777" w:rsidR="00137397" w:rsidRPr="00166A88" w:rsidRDefault="00137397" w:rsidP="00166A88">
      <w:pPr>
        <w:contextualSpacing/>
        <w:jc w:val="both"/>
        <w:rPr>
          <w:sz w:val="24"/>
          <w:szCs w:val="24"/>
        </w:rPr>
      </w:pPr>
    </w:p>
    <w:p w14:paraId="45529AF9" w14:textId="77777777" w:rsidR="0014663C" w:rsidRDefault="00BC2F61" w:rsidP="00166A88">
      <w:pPr>
        <w:contextualSpacing/>
        <w:jc w:val="center"/>
        <w:rPr>
          <w:bCs/>
          <w:sz w:val="24"/>
          <w:szCs w:val="24"/>
        </w:rPr>
      </w:pPr>
      <w:r w:rsidRPr="00166A88">
        <w:rPr>
          <w:b/>
          <w:sz w:val="24"/>
          <w:szCs w:val="24"/>
        </w:rPr>
        <w:lastRenderedPageBreak/>
        <w:t>Ta</w:t>
      </w:r>
      <w:r w:rsidR="00137397">
        <w:rPr>
          <w:b/>
          <w:sz w:val="24"/>
          <w:szCs w:val="24"/>
        </w:rPr>
        <w:t>ble</w:t>
      </w:r>
      <w:r w:rsidRPr="00166A88">
        <w:rPr>
          <w:b/>
          <w:sz w:val="24"/>
          <w:szCs w:val="24"/>
        </w:rPr>
        <w:t xml:space="preserve"> 3.</w:t>
      </w:r>
      <w:r>
        <w:rPr>
          <w:b/>
          <w:sz w:val="24"/>
          <w:szCs w:val="24"/>
        </w:rPr>
        <w:t xml:space="preserve"> </w:t>
      </w:r>
      <w:r w:rsidR="00137397" w:rsidRPr="00137397">
        <w:rPr>
          <w:bCs/>
          <w:sz w:val="24"/>
          <w:szCs w:val="24"/>
        </w:rPr>
        <w:t>Operational Definition of Variables</w:t>
      </w:r>
    </w:p>
    <w:tbl>
      <w:tblPr>
        <w:tblStyle w:val="TableGrid"/>
        <w:tblW w:w="7933"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615"/>
        <w:gridCol w:w="2159"/>
        <w:gridCol w:w="2317"/>
        <w:gridCol w:w="1842"/>
      </w:tblGrid>
      <w:tr w:rsidR="000B5092" w14:paraId="1A5F9B87" w14:textId="77777777" w:rsidTr="00C17D52">
        <w:tc>
          <w:tcPr>
            <w:tcW w:w="1615" w:type="dxa"/>
          </w:tcPr>
          <w:p w14:paraId="0D102225" w14:textId="77777777" w:rsidR="00166A88" w:rsidRDefault="00BC2F61" w:rsidP="00166A88">
            <w:pPr>
              <w:contextualSpacing/>
              <w:jc w:val="center"/>
              <w:rPr>
                <w:bCs/>
                <w:sz w:val="24"/>
                <w:szCs w:val="24"/>
              </w:rPr>
            </w:pPr>
            <w:r>
              <w:rPr>
                <w:b/>
                <w:bCs/>
                <w:sz w:val="24"/>
                <w:szCs w:val="24"/>
              </w:rPr>
              <w:t>Variables</w:t>
            </w:r>
          </w:p>
        </w:tc>
        <w:tc>
          <w:tcPr>
            <w:tcW w:w="2159" w:type="dxa"/>
          </w:tcPr>
          <w:p w14:paraId="3EFA9732" w14:textId="77777777" w:rsidR="00166A88" w:rsidRDefault="00BC2F61" w:rsidP="00166A88">
            <w:pPr>
              <w:contextualSpacing/>
              <w:jc w:val="center"/>
              <w:rPr>
                <w:bCs/>
                <w:sz w:val="24"/>
                <w:szCs w:val="24"/>
              </w:rPr>
            </w:pPr>
            <w:r w:rsidRPr="00137397">
              <w:rPr>
                <w:b/>
                <w:bCs/>
                <w:sz w:val="24"/>
                <w:szCs w:val="24"/>
              </w:rPr>
              <w:t>Operational Definition</w:t>
            </w:r>
          </w:p>
        </w:tc>
        <w:tc>
          <w:tcPr>
            <w:tcW w:w="2317" w:type="dxa"/>
            <w:vAlign w:val="center"/>
          </w:tcPr>
          <w:p w14:paraId="2E872405" w14:textId="77777777" w:rsidR="00166A88" w:rsidRDefault="00BC2F61" w:rsidP="00166A88">
            <w:pPr>
              <w:contextualSpacing/>
              <w:jc w:val="center"/>
              <w:rPr>
                <w:bCs/>
                <w:sz w:val="24"/>
                <w:szCs w:val="24"/>
              </w:rPr>
            </w:pPr>
            <w:r w:rsidRPr="00137397">
              <w:rPr>
                <w:b/>
                <w:bCs/>
                <w:sz w:val="24"/>
                <w:szCs w:val="24"/>
              </w:rPr>
              <w:t>Calculation Formula</w:t>
            </w:r>
          </w:p>
        </w:tc>
        <w:tc>
          <w:tcPr>
            <w:tcW w:w="1842" w:type="dxa"/>
            <w:vAlign w:val="center"/>
          </w:tcPr>
          <w:p w14:paraId="117D98E7" w14:textId="77777777" w:rsidR="00166A88" w:rsidRDefault="00BC2F61" w:rsidP="00166A88">
            <w:pPr>
              <w:contextualSpacing/>
              <w:jc w:val="center"/>
              <w:rPr>
                <w:bCs/>
                <w:sz w:val="24"/>
                <w:szCs w:val="24"/>
              </w:rPr>
            </w:pPr>
            <w:r w:rsidRPr="00137397">
              <w:rPr>
                <w:b/>
                <w:bCs/>
                <w:sz w:val="24"/>
                <w:szCs w:val="24"/>
              </w:rPr>
              <w:t>Data types</w:t>
            </w:r>
          </w:p>
        </w:tc>
      </w:tr>
      <w:tr w:rsidR="000B5092" w14:paraId="690592DD" w14:textId="77777777" w:rsidTr="00C17D52">
        <w:tc>
          <w:tcPr>
            <w:tcW w:w="1615" w:type="dxa"/>
            <w:vAlign w:val="center"/>
          </w:tcPr>
          <w:p w14:paraId="60DE5A11" w14:textId="77777777" w:rsidR="00166A88" w:rsidRDefault="00BC2F61" w:rsidP="00166A88">
            <w:pPr>
              <w:contextualSpacing/>
              <w:rPr>
                <w:bCs/>
                <w:sz w:val="24"/>
                <w:szCs w:val="24"/>
              </w:rPr>
            </w:pPr>
            <w:r w:rsidRPr="00461C8E">
              <w:rPr>
                <w:sz w:val="24"/>
                <w:szCs w:val="24"/>
              </w:rPr>
              <w:t>Return on Asset (Y)</w:t>
            </w:r>
          </w:p>
        </w:tc>
        <w:tc>
          <w:tcPr>
            <w:tcW w:w="2159" w:type="dxa"/>
          </w:tcPr>
          <w:p w14:paraId="4D3217B7" w14:textId="77777777" w:rsidR="00166A88" w:rsidRPr="00137397" w:rsidRDefault="00BC2F61" w:rsidP="00166A88">
            <w:pPr>
              <w:contextualSpacing/>
              <w:rPr>
                <w:sz w:val="24"/>
                <w:szCs w:val="24"/>
                <w:lang w:val="en-ID"/>
              </w:rPr>
            </w:pPr>
            <w:r w:rsidRPr="00137397">
              <w:rPr>
                <w:sz w:val="24"/>
                <w:szCs w:val="24"/>
                <w:lang w:val="en"/>
              </w:rPr>
              <w:t>This ratio reflects the bank's efficiency in generating profits from its assets, illustrating the extent to which Islamic banks can utilize their assets to generate net profits</w:t>
            </w:r>
            <w:r>
              <w:rPr>
                <w:sz w:val="24"/>
                <w:szCs w:val="24"/>
              </w:rPr>
              <w:t xml:space="preserve"> </w:t>
            </w:r>
            <w:r>
              <w:rPr>
                <w:sz w:val="24"/>
                <w:szCs w:val="24"/>
              </w:rPr>
              <w:fldChar w:fldCharType="begin" w:fldLock="1"/>
            </w:r>
            <w:r w:rsidR="00B73410">
              <w:rPr>
                <w:sz w:val="24"/>
                <w:szCs w:val="24"/>
              </w:rPr>
              <w:instrText>ADDIN CSL_CITATION {"citationItems":[{"id":"ITEM-1","itemData":{"ISSN":"2721-3048","author":[{"dropping-particle":"","family":"Yuliana","given":"Intan Rika","non-dropping-particle":"","parse-names":false,"suffix":""},{"dropping-particle":"","family":"Listari","given":"Sinta","non-dropping-particle":"","parse-names":false,"suffix":""}],"container-title":"Jurnal Ilmiah Akuntansi Kesatuan","id":"ITEM-1","issue":"2","issued":{"date-parts":[["2021"]]},"page":"309-334","title":"Pengaruh CAR, FDR, Dan BOPO Terhadap ROA Pada Bank Syariah Di Indonesia","type":"article-journal","volume":"9"},"uris":["http://www.mendeley.com/documents/?uuid=2af48c68-3c65-4ef5-981f-d5f06bbc51a0"]}],"mendeley":{"formattedCitation":"(Yuliana and Listari, 2021)","plainTextFormattedCitation":"(Yuliana and Listari, 2021)","previouslyFormattedCitation":"(Yuliana and Listari, 2021)"},"properties":{"noteIndex":0},"schema":"https://github.com/citation-style-language/schema/raw/master/csl-citation.json"}</w:instrText>
            </w:r>
            <w:r>
              <w:rPr>
                <w:sz w:val="24"/>
                <w:szCs w:val="24"/>
              </w:rPr>
              <w:fldChar w:fldCharType="separate"/>
            </w:r>
            <w:r w:rsidR="00445FA1" w:rsidRPr="00445FA1">
              <w:rPr>
                <w:noProof/>
                <w:sz w:val="24"/>
                <w:szCs w:val="24"/>
              </w:rPr>
              <w:t>(Yuliana &amp; Listari, 2021)</w:t>
            </w:r>
            <w:r>
              <w:rPr>
                <w:sz w:val="24"/>
                <w:szCs w:val="24"/>
              </w:rPr>
              <w:fldChar w:fldCharType="end"/>
            </w:r>
          </w:p>
        </w:tc>
        <w:tc>
          <w:tcPr>
            <w:tcW w:w="2317" w:type="dxa"/>
            <w:vAlign w:val="center"/>
          </w:tcPr>
          <w:p w14:paraId="15C4A3A5" w14:textId="77777777" w:rsidR="00166A88" w:rsidRDefault="00BC2F61" w:rsidP="00166A88">
            <w:pPr>
              <w:contextualSpacing/>
              <w:jc w:val="center"/>
              <w:rPr>
                <w:bCs/>
                <w:sz w:val="24"/>
                <w:szCs w:val="24"/>
              </w:rPr>
            </w:pPr>
            <w:r w:rsidRPr="00461C8E">
              <w:rPr>
                <w:rStyle w:val="mord"/>
                <w:sz w:val="24"/>
              </w:rPr>
              <w:t>ROA</w:t>
            </w:r>
            <w:r>
              <w:rPr>
                <w:rStyle w:val="mord"/>
                <w:sz w:val="24"/>
              </w:rPr>
              <w:t xml:space="preserve"> </w:t>
            </w:r>
            <w:r w:rsidRPr="00461C8E">
              <w:rPr>
                <w:rStyle w:val="mrel"/>
                <w:sz w:val="24"/>
              </w:rPr>
              <w:t>=</w:t>
            </w:r>
            <w:r>
              <w:rPr>
                <w:rStyle w:val="mrel"/>
                <w:sz w:val="24"/>
              </w:rPr>
              <w:t xml:space="preserve"> </w:t>
            </w:r>
            <w:r w:rsidR="007C1B52" w:rsidRPr="007C1B52">
              <w:rPr>
                <w:rStyle w:val="mord"/>
                <w:sz w:val="24"/>
              </w:rPr>
              <w:t>Total Assets / Net Profit</w:t>
            </w:r>
            <w:r w:rsidRPr="00461C8E">
              <w:rPr>
                <w:rStyle w:val="vlist-s"/>
                <w:sz w:val="24"/>
              </w:rPr>
              <w:t>​</w:t>
            </w:r>
            <w:r>
              <w:rPr>
                <w:rStyle w:val="vlist-s"/>
                <w:sz w:val="24"/>
              </w:rPr>
              <w:t xml:space="preserve"> </w:t>
            </w:r>
            <w:r w:rsidRPr="00461C8E">
              <w:rPr>
                <w:rStyle w:val="mbin"/>
                <w:sz w:val="24"/>
              </w:rPr>
              <w:t>×</w:t>
            </w:r>
            <w:r w:rsidRPr="00461C8E">
              <w:rPr>
                <w:rStyle w:val="mord"/>
                <w:sz w:val="24"/>
              </w:rPr>
              <w:t>100%</w:t>
            </w:r>
          </w:p>
        </w:tc>
        <w:tc>
          <w:tcPr>
            <w:tcW w:w="1842" w:type="dxa"/>
            <w:vAlign w:val="center"/>
          </w:tcPr>
          <w:p w14:paraId="33C6B474" w14:textId="77777777" w:rsidR="00166A88" w:rsidRPr="007C1B52" w:rsidRDefault="00BC2F61" w:rsidP="00166A88">
            <w:pPr>
              <w:contextualSpacing/>
              <w:jc w:val="center"/>
              <w:rPr>
                <w:sz w:val="24"/>
                <w:szCs w:val="24"/>
              </w:rPr>
            </w:pPr>
            <w:r w:rsidRPr="007C1B52">
              <w:rPr>
                <w:sz w:val="24"/>
                <w:szCs w:val="24"/>
              </w:rPr>
              <w:t>Ra</w:t>
            </w:r>
            <w:r w:rsidR="00137397" w:rsidRPr="007C1B52">
              <w:rPr>
                <w:sz w:val="24"/>
                <w:szCs w:val="24"/>
              </w:rPr>
              <w:t>t</w:t>
            </w:r>
            <w:r w:rsidRPr="007C1B52">
              <w:rPr>
                <w:sz w:val="24"/>
                <w:szCs w:val="24"/>
              </w:rPr>
              <w:t>io</w:t>
            </w:r>
          </w:p>
        </w:tc>
      </w:tr>
      <w:tr w:rsidR="000B5092" w14:paraId="32BFA7C0" w14:textId="77777777" w:rsidTr="00C17D52">
        <w:tc>
          <w:tcPr>
            <w:tcW w:w="1615" w:type="dxa"/>
            <w:vAlign w:val="center"/>
          </w:tcPr>
          <w:p w14:paraId="15E0287E" w14:textId="77777777" w:rsidR="00166A88" w:rsidRDefault="00BC2F61" w:rsidP="00166A88">
            <w:pPr>
              <w:contextualSpacing/>
              <w:rPr>
                <w:bCs/>
                <w:sz w:val="24"/>
                <w:szCs w:val="24"/>
              </w:rPr>
            </w:pPr>
            <w:r>
              <w:rPr>
                <w:sz w:val="24"/>
                <w:szCs w:val="24"/>
              </w:rPr>
              <w:t>Bank Size</w:t>
            </w:r>
            <w:r w:rsidRPr="00461C8E">
              <w:rPr>
                <w:sz w:val="24"/>
                <w:szCs w:val="24"/>
              </w:rPr>
              <w:t xml:space="preserve"> (X</w:t>
            </w:r>
            <w:r w:rsidRPr="00166A88">
              <w:rPr>
                <w:sz w:val="24"/>
                <w:szCs w:val="24"/>
                <w:vertAlign w:val="subscript"/>
              </w:rPr>
              <w:t>1</w:t>
            </w:r>
            <w:r w:rsidRPr="00461C8E">
              <w:rPr>
                <w:sz w:val="24"/>
                <w:szCs w:val="24"/>
              </w:rPr>
              <w:t>)</w:t>
            </w:r>
          </w:p>
        </w:tc>
        <w:tc>
          <w:tcPr>
            <w:tcW w:w="2159" w:type="dxa"/>
          </w:tcPr>
          <w:p w14:paraId="537E1515" w14:textId="77777777" w:rsidR="00166A88" w:rsidRDefault="00BC2F61" w:rsidP="00166A88">
            <w:pPr>
              <w:contextualSpacing/>
              <w:rPr>
                <w:bCs/>
                <w:sz w:val="24"/>
                <w:szCs w:val="24"/>
              </w:rPr>
            </w:pPr>
            <w:r w:rsidRPr="00137397">
              <w:rPr>
                <w:sz w:val="24"/>
                <w:szCs w:val="24"/>
              </w:rPr>
              <w:t>Bank size is measured based on the total assets owned by Islamic banks. Total assets reflect the bank's operational scale and its ability to influence the market, as well as its capacity to carry out business activities</w:t>
            </w:r>
            <w:r>
              <w:rPr>
                <w:sz w:val="24"/>
                <w:szCs w:val="24"/>
              </w:rPr>
              <w:t xml:space="preserve"> </w:t>
            </w:r>
            <w:r>
              <w:rPr>
                <w:sz w:val="24"/>
                <w:szCs w:val="24"/>
              </w:rPr>
              <w:fldChar w:fldCharType="begin" w:fldLock="1"/>
            </w:r>
            <w:r w:rsidR="00B73410">
              <w:rPr>
                <w:sz w:val="24"/>
                <w:szCs w:val="24"/>
              </w:rPr>
              <w:instrText>ADDIN CSL_CITATION {"citationItems":[{"id":"ITEM-1","itemData":{"DOI":"10.35313/ijem.v2i2.3692","abstract":"Maqashid sharia is the direction of Islamic bank activities in obtaining profit. This topic is interesting to be researched because profitability in Islamic perspective is a material and immaterial benefit obtained in the world and the hereafter. This study aims to explore the effect of Islamic maqashid index and company size on profitability of Sharia Common Banks in Indonesia in the 2014-2018 period. The research method used explanatory causality with multiple regression analysis using WarpPLS 6.0 program. The data used are secondary data from 12 samples of Sharia Common Banks in Indonesia. The results of this study indicate that the maqashid sharia index also the company size has a positive significant effect on profitability. The greater maqashid index and size of a sharia commercial bank will be able to increase the profitability of sharia banks which reflects companies that adhere to sharia maqashid compliance and optimal in gaining profits.","author":[{"dropping-particle":"","family":"Belianti","given":"Leviana","non-dropping-particle":"","parse-names":false,"suffix":""},{"dropping-particle":"","family":"Ruhadi","given":"Ruhadi","non-dropping-particle":"","parse-names":false,"suffix":""},{"dropping-particle":"","family":"Setiawan","given":"Setiawan","non-dropping-particle":"","parse-names":false,"suffix":""}],"container-title":"Indonesian Journal of Economics and Management","id":"ITEM-1","issue":"2","issued":{"date-parts":[["2022"]]},"page":"441-451","title":"Pengaruh Indeks Maqashid Syariah dan Ukuran Perusahaan terhadap Profitabilitas","type":"article-journal","volume":"2"},"uris":["http://www.mendeley.com/documents/?uuid=662c5041-ff0c-4811-8fd4-3b8dcd0eacc9","http://www.mendeley.com/documents/?uuid=90b3241d-34d1-48a9-a0b2-bea5dd4807c8"]}],"mendeley":{"formattedCitation":"(Belianti, Ruhadi, and Setiawan, 2022)","plainTextFormattedCitation":"(Belianti, Ruhadi, and Setiawan, 2022)","previouslyFormattedCitation":"(Belianti, Ruhadi, and Setiawan, 2022)"},"properties":{"noteIndex":0},"schema":"https://github.com/citation-style-language/schema/raw/master/csl-citation.json"}</w:instrText>
            </w:r>
            <w:r>
              <w:rPr>
                <w:sz w:val="24"/>
                <w:szCs w:val="24"/>
              </w:rPr>
              <w:fldChar w:fldCharType="separate"/>
            </w:r>
            <w:r w:rsidR="00445FA1" w:rsidRPr="00445FA1">
              <w:rPr>
                <w:noProof/>
                <w:sz w:val="24"/>
                <w:szCs w:val="24"/>
              </w:rPr>
              <w:t>(Belianti et al., 2022)</w:t>
            </w:r>
            <w:r>
              <w:rPr>
                <w:sz w:val="24"/>
                <w:szCs w:val="24"/>
              </w:rPr>
              <w:fldChar w:fldCharType="end"/>
            </w:r>
          </w:p>
        </w:tc>
        <w:tc>
          <w:tcPr>
            <w:tcW w:w="2317" w:type="dxa"/>
            <w:vAlign w:val="center"/>
          </w:tcPr>
          <w:p w14:paraId="26FBA005" w14:textId="77777777" w:rsidR="00166A88" w:rsidRDefault="00BC2F61" w:rsidP="00166A88">
            <w:pPr>
              <w:contextualSpacing/>
              <w:jc w:val="center"/>
              <w:rPr>
                <w:bCs/>
                <w:sz w:val="24"/>
                <w:szCs w:val="24"/>
              </w:rPr>
            </w:pPr>
            <w:r w:rsidRPr="007C1B52">
              <w:rPr>
                <w:rStyle w:val="mord"/>
                <w:sz w:val="24"/>
                <w:szCs w:val="24"/>
                <w:lang w:val="en-ID" w:eastAsia="en-ID"/>
              </w:rPr>
              <w:t>Bank Size = log (Total Assets)</w:t>
            </w:r>
          </w:p>
        </w:tc>
        <w:tc>
          <w:tcPr>
            <w:tcW w:w="1842" w:type="dxa"/>
            <w:vAlign w:val="center"/>
          </w:tcPr>
          <w:p w14:paraId="1E36AE0B" w14:textId="77777777" w:rsidR="00166A88" w:rsidRPr="00137397" w:rsidRDefault="00BC2F61" w:rsidP="00166A88">
            <w:pPr>
              <w:contextualSpacing/>
              <w:jc w:val="center"/>
              <w:rPr>
                <w:sz w:val="24"/>
                <w:szCs w:val="24"/>
              </w:rPr>
            </w:pPr>
            <w:r w:rsidRPr="00137397">
              <w:rPr>
                <w:sz w:val="24"/>
                <w:szCs w:val="24"/>
              </w:rPr>
              <w:t>Nominal</w:t>
            </w:r>
          </w:p>
        </w:tc>
      </w:tr>
      <w:tr w:rsidR="000B5092" w14:paraId="0486DD50" w14:textId="77777777" w:rsidTr="007C1B52">
        <w:tc>
          <w:tcPr>
            <w:tcW w:w="1615" w:type="dxa"/>
            <w:vAlign w:val="center"/>
          </w:tcPr>
          <w:p w14:paraId="7D933CB9" w14:textId="77777777" w:rsidR="00166A88" w:rsidRDefault="00BC2F61" w:rsidP="007C1B52">
            <w:pPr>
              <w:contextualSpacing/>
              <w:rPr>
                <w:bCs/>
                <w:sz w:val="24"/>
                <w:szCs w:val="24"/>
              </w:rPr>
            </w:pPr>
            <w:r w:rsidRPr="00137397">
              <w:rPr>
                <w:sz w:val="24"/>
                <w:szCs w:val="24"/>
                <w:lang w:val="en-ID"/>
              </w:rPr>
              <w:t xml:space="preserve">Third-Party Funds </w:t>
            </w:r>
            <w:r w:rsidRPr="00461C8E">
              <w:rPr>
                <w:sz w:val="24"/>
                <w:szCs w:val="24"/>
              </w:rPr>
              <w:t>(X</w:t>
            </w:r>
            <w:r w:rsidRPr="00166A88">
              <w:rPr>
                <w:sz w:val="24"/>
                <w:szCs w:val="24"/>
                <w:vertAlign w:val="subscript"/>
              </w:rPr>
              <w:t>2</w:t>
            </w:r>
            <w:r w:rsidRPr="00461C8E">
              <w:rPr>
                <w:sz w:val="24"/>
                <w:szCs w:val="24"/>
              </w:rPr>
              <w:t>)</w:t>
            </w:r>
          </w:p>
        </w:tc>
        <w:tc>
          <w:tcPr>
            <w:tcW w:w="2159" w:type="dxa"/>
          </w:tcPr>
          <w:p w14:paraId="148D8C75" w14:textId="77777777" w:rsidR="00137397" w:rsidRPr="00137397" w:rsidRDefault="00BC2F61" w:rsidP="00137397">
            <w:pPr>
              <w:contextualSpacing/>
              <w:rPr>
                <w:sz w:val="24"/>
                <w:szCs w:val="24"/>
                <w:lang w:val="en-ID"/>
              </w:rPr>
            </w:pPr>
            <w:r w:rsidRPr="00137397">
              <w:rPr>
                <w:sz w:val="24"/>
                <w:szCs w:val="24"/>
                <w:lang w:val="en-ID"/>
              </w:rPr>
              <w:t>Third-party funds</w:t>
            </w:r>
            <w:r>
              <w:rPr>
                <w:sz w:val="24"/>
                <w:szCs w:val="24"/>
                <w:lang w:val="en-ID"/>
              </w:rPr>
              <w:t xml:space="preserve"> </w:t>
            </w:r>
            <w:r w:rsidRPr="00137397">
              <w:rPr>
                <w:sz w:val="24"/>
                <w:szCs w:val="24"/>
                <w:lang w:val="en-ID"/>
              </w:rPr>
              <w:t>reflect the amount of liquidity available to Islamic banks and serve as an important indicator in assessing the bank's ability to meet funding needs and expand its operations.</w:t>
            </w:r>
          </w:p>
          <w:p w14:paraId="155212BD" w14:textId="77777777" w:rsidR="00166A88" w:rsidRDefault="00BC2F61" w:rsidP="00166A88">
            <w:pPr>
              <w:contextualSpacing/>
              <w:rPr>
                <w:bCs/>
                <w:sz w:val="24"/>
                <w:szCs w:val="24"/>
              </w:rPr>
            </w:pPr>
            <w:r>
              <w:rPr>
                <w:sz w:val="24"/>
                <w:szCs w:val="24"/>
              </w:rPr>
              <w:fldChar w:fldCharType="begin" w:fldLock="1"/>
            </w:r>
            <w:r w:rsidR="00445FA1">
              <w:rPr>
                <w:sz w:val="24"/>
                <w:szCs w:val="24"/>
              </w:rPr>
              <w:instrText>ADDIN CSL_CITATION {"citationItems":[{"id":"ITEM-1","itemData":{"DOI":"10.33059/jensi.v5i2.3995","ISSN":"2615-1227","abstract":"Penelitian ini bertujuan untuk menganalisis pengaruh equivalent rate, inflasi dan likuiditas terhadap dana pihak ketiga pada perbankan syariah di Indonesia periode 2015-2019. Populasi penelitian adalah laporan keuangan perbankan syariah dengan periode bulanan dari tahun 2015-2019. Dengan teknik sampling jenuh ditentukan jumlah sampel sebanyak 60 bulan. Teknik pengumpulan data yang digunakan adalah studi dokumentasi yaitu laporan keuangan perbankan syariah di Indonesia yang dipublikasikan oleh Otoritas Jasa Keuangan dan Bank Indonesia. Pengolahan data dilakukan dengan analisis regresi berganda dengan bantuan aplikasi SPSS. Temuan penelitian yaitu equivalent rate berpengaruh terhadap dana pihak ketiga, inflasi tidak berpengaruh terhadap dana pihak ketiga dan  Likuiditas berpengaruh terhadap dana pihak ketiga","author":[{"dropping-particle":"","family":"Budi Gautama Siregar","given":"","non-dropping-particle":"","parse-names":false,"suffix":""}],"container-title":"Jurnal Penelitian Ekonomi Akuntansi (JENSI)","id":"ITEM-1","issue":"2","issued":{"date-parts":[["2021"]]},"page":"111-121","title":"Dana Pihak Ketiga Pada Perbankan Syariah Di Indonesia","type":"article-journal","volume":"5"},"uris":["http://www.mendeley.com/documents/?uuid=2795744a-c001-4ad7-b943-1699bbfb9b26","http://www.mendeley.com/documents/?uuid=78d6ba5a-2421-499f-a173-607185199315"]}],"mendeley":{"formattedCitation":"(Budi Gautama Siregar, 2021)","plainTextFormattedCitation":"(Budi Gautama Siregar, 2021)","previouslyFormattedCitation":"(Budi Gautama Siregar, 2021)"},"properties":{"noteIndex":0},"schema":"https://github.com/citation-style-language/schema/raw/master/csl-citation.json"}</w:instrText>
            </w:r>
            <w:r>
              <w:rPr>
                <w:sz w:val="24"/>
                <w:szCs w:val="24"/>
              </w:rPr>
              <w:fldChar w:fldCharType="separate"/>
            </w:r>
            <w:r w:rsidRPr="0067652B">
              <w:rPr>
                <w:noProof/>
                <w:sz w:val="24"/>
                <w:szCs w:val="24"/>
              </w:rPr>
              <w:t>(Budi Gautama Siregar, 2021)</w:t>
            </w:r>
            <w:r>
              <w:rPr>
                <w:sz w:val="24"/>
                <w:szCs w:val="24"/>
              </w:rPr>
              <w:fldChar w:fldCharType="end"/>
            </w:r>
            <w:r>
              <w:rPr>
                <w:sz w:val="24"/>
                <w:szCs w:val="24"/>
              </w:rPr>
              <w:t>.</w:t>
            </w:r>
          </w:p>
        </w:tc>
        <w:tc>
          <w:tcPr>
            <w:tcW w:w="2317" w:type="dxa"/>
            <w:vAlign w:val="center"/>
          </w:tcPr>
          <w:p w14:paraId="08A592E9" w14:textId="77777777" w:rsidR="00166A88" w:rsidRDefault="00BC2F61" w:rsidP="00166A88">
            <w:pPr>
              <w:contextualSpacing/>
              <w:jc w:val="center"/>
              <w:rPr>
                <w:bCs/>
                <w:sz w:val="24"/>
                <w:szCs w:val="24"/>
              </w:rPr>
            </w:pPr>
            <w:r w:rsidRPr="007C1B52">
              <w:rPr>
                <w:rStyle w:val="mord"/>
              </w:rPr>
              <w:t xml:space="preserve">DPK = Savings + </w:t>
            </w:r>
            <w:r>
              <w:rPr>
                <w:rStyle w:val="mord"/>
              </w:rPr>
              <w:t>Giro</w:t>
            </w:r>
            <w:r w:rsidRPr="007C1B52">
              <w:rPr>
                <w:rStyle w:val="mord"/>
              </w:rPr>
              <w:t xml:space="preserve"> + Deposits</w:t>
            </w:r>
          </w:p>
        </w:tc>
        <w:tc>
          <w:tcPr>
            <w:tcW w:w="1842" w:type="dxa"/>
            <w:vAlign w:val="center"/>
          </w:tcPr>
          <w:p w14:paraId="5301BB9A" w14:textId="77777777" w:rsidR="00166A88" w:rsidRDefault="00BC2F61" w:rsidP="00166A88">
            <w:pPr>
              <w:contextualSpacing/>
              <w:jc w:val="center"/>
              <w:rPr>
                <w:bCs/>
                <w:sz w:val="24"/>
                <w:szCs w:val="24"/>
              </w:rPr>
            </w:pPr>
            <w:r>
              <w:rPr>
                <w:sz w:val="24"/>
                <w:szCs w:val="24"/>
              </w:rPr>
              <w:t>Nominal</w:t>
            </w:r>
          </w:p>
        </w:tc>
      </w:tr>
      <w:tr w:rsidR="000B5092" w14:paraId="2CC3CB6F" w14:textId="77777777" w:rsidTr="00C17D52">
        <w:tc>
          <w:tcPr>
            <w:tcW w:w="1615" w:type="dxa"/>
            <w:vAlign w:val="center"/>
          </w:tcPr>
          <w:p w14:paraId="44E4FBC9" w14:textId="77777777" w:rsidR="00166A88" w:rsidRPr="00137397" w:rsidRDefault="00BC2F61" w:rsidP="00166A88">
            <w:pPr>
              <w:contextualSpacing/>
              <w:rPr>
                <w:sz w:val="24"/>
                <w:szCs w:val="24"/>
                <w:lang w:val="en-ID"/>
              </w:rPr>
            </w:pPr>
            <w:r w:rsidRPr="00137397">
              <w:rPr>
                <w:sz w:val="24"/>
                <w:szCs w:val="24"/>
                <w:lang w:val="en"/>
              </w:rPr>
              <w:t>Dividend policy</w:t>
            </w:r>
            <w:r>
              <w:rPr>
                <w:sz w:val="24"/>
                <w:szCs w:val="24"/>
                <w:lang w:val="en-ID"/>
              </w:rPr>
              <w:t xml:space="preserve"> </w:t>
            </w:r>
            <w:r w:rsidRPr="00461C8E">
              <w:rPr>
                <w:sz w:val="24"/>
                <w:szCs w:val="24"/>
              </w:rPr>
              <w:t>(X</w:t>
            </w:r>
            <w:r w:rsidRPr="00166A88">
              <w:rPr>
                <w:sz w:val="24"/>
                <w:szCs w:val="24"/>
                <w:vertAlign w:val="subscript"/>
              </w:rPr>
              <w:t>3</w:t>
            </w:r>
            <w:r w:rsidRPr="00461C8E">
              <w:rPr>
                <w:sz w:val="24"/>
                <w:szCs w:val="24"/>
              </w:rPr>
              <w:t>)</w:t>
            </w:r>
          </w:p>
        </w:tc>
        <w:tc>
          <w:tcPr>
            <w:tcW w:w="2159" w:type="dxa"/>
          </w:tcPr>
          <w:p w14:paraId="1F9C30ED" w14:textId="77777777" w:rsidR="00166A88" w:rsidRDefault="00BC2F61" w:rsidP="00166A88">
            <w:pPr>
              <w:contextualSpacing/>
              <w:rPr>
                <w:bCs/>
                <w:sz w:val="24"/>
                <w:szCs w:val="24"/>
              </w:rPr>
            </w:pPr>
            <w:r w:rsidRPr="00137397">
              <w:rPr>
                <w:sz w:val="24"/>
                <w:szCs w:val="24"/>
              </w:rPr>
              <w:t xml:space="preserve">This ratio shows the extent to which Islamic banks distribute profits to shareholders and </w:t>
            </w:r>
            <w:r w:rsidRPr="00137397">
              <w:rPr>
                <w:sz w:val="24"/>
                <w:szCs w:val="24"/>
              </w:rPr>
              <w:lastRenderedPageBreak/>
              <w:t>managerial policies related to profit distribution</w:t>
            </w:r>
            <w:r>
              <w:rPr>
                <w:sz w:val="24"/>
                <w:szCs w:val="24"/>
              </w:rPr>
              <w:t xml:space="preserve"> </w:t>
            </w:r>
            <w:r>
              <w:rPr>
                <w:sz w:val="24"/>
                <w:szCs w:val="24"/>
              </w:rPr>
              <w:fldChar w:fldCharType="begin" w:fldLock="1"/>
            </w:r>
            <w:r w:rsidR="00B73410">
              <w:rPr>
                <w:sz w:val="24"/>
                <w:szCs w:val="24"/>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approach.","author":[{"dropping-particle":"","family":"Agustini","given":"Sabrina Yesi","non-dropping-particle":"","parse-names":false,"suffix":""},{"dropping-particle":"","family":"Fuadati","given":"Siti Rokhimi","non-dropping-particle":"","parse-names":false,"suffix":""}],"container-title":"Journal of Chemical Information and Modeling","id":"ITEM-1","issue":"9","issued":{"date-parts":[["2018"]]},"page":"1689-1699","title":"Pengaruh Rasio Keuangan Terhadap Kebijakan Dividen","type":"article-journal","volume":"53"},"uris":["http://www.mendeley.com/documents/?uuid=60b6fe36-3435-47d1-9796-71c5f2a13d0d","http://www.mendeley.com/documents/?uuid=e6946599-2f01-4980-bde4-053de750eb33"]}],"mendeley":{"formattedCitation":"(Agustini and Fuadati, 2018)","plainTextFormattedCitation":"(Agustini and Fuadati, 2018)","previouslyFormattedCitation":"(Agustini and Fuadati, 2018)"},"properties":{"noteIndex":0},"schema":"https://github.com/citation-style-language/schema/raw/master/csl-citation.json"}</w:instrText>
            </w:r>
            <w:r>
              <w:rPr>
                <w:sz w:val="24"/>
                <w:szCs w:val="24"/>
              </w:rPr>
              <w:fldChar w:fldCharType="separate"/>
            </w:r>
            <w:r w:rsidR="00445FA1" w:rsidRPr="00445FA1">
              <w:rPr>
                <w:noProof/>
                <w:sz w:val="24"/>
                <w:szCs w:val="24"/>
              </w:rPr>
              <w:t>(Agustini &amp; Fuadati, 2018)</w:t>
            </w:r>
            <w:r>
              <w:rPr>
                <w:sz w:val="24"/>
                <w:szCs w:val="24"/>
              </w:rPr>
              <w:fldChar w:fldCharType="end"/>
            </w:r>
            <w:r w:rsidRPr="00461C8E">
              <w:rPr>
                <w:sz w:val="24"/>
                <w:szCs w:val="24"/>
              </w:rPr>
              <w:t>.</w:t>
            </w:r>
          </w:p>
        </w:tc>
        <w:tc>
          <w:tcPr>
            <w:tcW w:w="2317" w:type="dxa"/>
            <w:vAlign w:val="center"/>
          </w:tcPr>
          <w:p w14:paraId="460DC4F2" w14:textId="77777777" w:rsidR="00166A88" w:rsidRDefault="00BC2F61" w:rsidP="00166A88">
            <w:pPr>
              <w:contextualSpacing/>
              <w:jc w:val="center"/>
              <w:rPr>
                <w:bCs/>
                <w:sz w:val="24"/>
                <w:szCs w:val="24"/>
              </w:rPr>
            </w:pPr>
            <w:r w:rsidRPr="00461C8E">
              <w:rPr>
                <w:rStyle w:val="mord"/>
              </w:rPr>
              <w:lastRenderedPageBreak/>
              <w:t>Dividend Payout Ratio (DPR)</w:t>
            </w:r>
            <w:r>
              <w:rPr>
                <w:rStyle w:val="mord"/>
              </w:rPr>
              <w:t xml:space="preserve"> </w:t>
            </w:r>
            <w:r w:rsidRPr="00461C8E">
              <w:rPr>
                <w:rStyle w:val="mrel"/>
              </w:rPr>
              <w:t>=</w:t>
            </w:r>
            <w:r>
              <w:rPr>
                <w:rStyle w:val="mrel"/>
              </w:rPr>
              <w:t xml:space="preserve"> (</w:t>
            </w:r>
            <w:r w:rsidRPr="00461C8E">
              <w:rPr>
                <w:rStyle w:val="mord"/>
              </w:rPr>
              <w:t>Laba Bersih</w:t>
            </w:r>
            <w:r>
              <w:rPr>
                <w:rStyle w:val="mord"/>
              </w:rPr>
              <w:t xml:space="preserve"> / </w:t>
            </w:r>
            <w:r w:rsidRPr="00461C8E">
              <w:rPr>
                <w:rStyle w:val="mord"/>
              </w:rPr>
              <w:t>Dividen Kas</w:t>
            </w:r>
            <w:r>
              <w:rPr>
                <w:rStyle w:val="mord"/>
              </w:rPr>
              <w:t xml:space="preserve">) </w:t>
            </w:r>
            <w:r w:rsidRPr="00461C8E">
              <w:rPr>
                <w:rStyle w:val="vlist-s"/>
              </w:rPr>
              <w:t>​</w:t>
            </w:r>
            <w:r w:rsidRPr="00461C8E">
              <w:rPr>
                <w:rStyle w:val="mbin"/>
              </w:rPr>
              <w:t>×</w:t>
            </w:r>
            <w:r>
              <w:rPr>
                <w:rStyle w:val="mbin"/>
              </w:rPr>
              <w:t xml:space="preserve"> </w:t>
            </w:r>
            <w:r w:rsidRPr="00461C8E">
              <w:rPr>
                <w:rStyle w:val="mord"/>
              </w:rPr>
              <w:t>100%</w:t>
            </w:r>
          </w:p>
        </w:tc>
        <w:tc>
          <w:tcPr>
            <w:tcW w:w="1842" w:type="dxa"/>
            <w:vAlign w:val="center"/>
          </w:tcPr>
          <w:p w14:paraId="19495162" w14:textId="77777777" w:rsidR="00166A88" w:rsidRDefault="00BC2F61" w:rsidP="00166A88">
            <w:pPr>
              <w:contextualSpacing/>
              <w:jc w:val="center"/>
              <w:rPr>
                <w:bCs/>
                <w:sz w:val="24"/>
                <w:szCs w:val="24"/>
              </w:rPr>
            </w:pPr>
            <w:r>
              <w:rPr>
                <w:sz w:val="24"/>
                <w:szCs w:val="24"/>
              </w:rPr>
              <w:t>Ra</w:t>
            </w:r>
            <w:r w:rsidR="00137397">
              <w:rPr>
                <w:sz w:val="24"/>
                <w:szCs w:val="24"/>
              </w:rPr>
              <w:t>t</w:t>
            </w:r>
            <w:r>
              <w:rPr>
                <w:sz w:val="24"/>
                <w:szCs w:val="24"/>
              </w:rPr>
              <w:t>io</w:t>
            </w:r>
          </w:p>
        </w:tc>
      </w:tr>
    </w:tbl>
    <w:p w14:paraId="6E6028F4" w14:textId="77777777" w:rsidR="00166A88" w:rsidRDefault="00166A88" w:rsidP="00166A88">
      <w:pPr>
        <w:contextualSpacing/>
        <w:jc w:val="center"/>
        <w:rPr>
          <w:bCs/>
          <w:sz w:val="24"/>
          <w:szCs w:val="24"/>
        </w:rPr>
      </w:pPr>
    </w:p>
    <w:p w14:paraId="7A100B5A" w14:textId="77777777" w:rsidR="00166A88" w:rsidRDefault="00BC2F61" w:rsidP="00445FA1">
      <w:pPr>
        <w:contextualSpacing/>
        <w:rPr>
          <w:b/>
          <w:sz w:val="24"/>
          <w:szCs w:val="24"/>
        </w:rPr>
      </w:pPr>
      <w:r w:rsidRPr="007C1B52">
        <w:rPr>
          <w:b/>
          <w:sz w:val="24"/>
          <w:szCs w:val="24"/>
        </w:rPr>
        <w:t>Data Analysis Techniques</w:t>
      </w:r>
    </w:p>
    <w:p w14:paraId="54907F7E" w14:textId="77777777" w:rsidR="00445FA1" w:rsidRDefault="00BC2F61" w:rsidP="00445FA1">
      <w:pPr>
        <w:ind w:firstLine="567"/>
        <w:contextualSpacing/>
        <w:jc w:val="both"/>
        <w:rPr>
          <w:bCs/>
          <w:sz w:val="24"/>
          <w:szCs w:val="24"/>
        </w:rPr>
      </w:pPr>
      <w:r w:rsidRPr="00137397">
        <w:rPr>
          <w:bCs/>
          <w:sz w:val="24"/>
          <w:szCs w:val="24"/>
        </w:rPr>
        <w:t>Statistical data processing plays a crucial role in research, as the results serve as the foundation for conclusions. Before concluding the findings, data analysis is required to ensure optimal accuracy. Therefore, this study utilizes the REVIEWS 10 software for statistical data processing. The analysis method applied is multiple linear regression with a panel data approach</w:t>
      </w:r>
      <w:r w:rsidRPr="00445FA1">
        <w:rPr>
          <w:bCs/>
          <w:sz w:val="24"/>
          <w:szCs w:val="24"/>
        </w:rPr>
        <w:t>.</w:t>
      </w:r>
    </w:p>
    <w:p w14:paraId="4677F218" w14:textId="31F0E0A9" w:rsidR="00445FA1" w:rsidRPr="00445FA1" w:rsidRDefault="00BC2F61" w:rsidP="00445FA1">
      <w:pPr>
        <w:ind w:firstLine="567"/>
        <w:contextualSpacing/>
        <w:jc w:val="both"/>
        <w:rPr>
          <w:bCs/>
          <w:sz w:val="24"/>
          <w:szCs w:val="24"/>
        </w:rPr>
      </w:pPr>
      <w:r w:rsidRPr="00137397">
        <w:rPr>
          <w:bCs/>
          <w:sz w:val="24"/>
          <w:szCs w:val="24"/>
        </w:rPr>
        <w:t>Panel data is a combination of time-series data and cross-sectional data</w:t>
      </w:r>
      <w:r>
        <w:rPr>
          <w:bCs/>
          <w:sz w:val="24"/>
          <w:szCs w:val="24"/>
        </w:rPr>
        <w:t xml:space="preserve"> </w:t>
      </w:r>
      <w:r>
        <w:rPr>
          <w:bCs/>
          <w:sz w:val="24"/>
          <w:szCs w:val="24"/>
        </w:rPr>
        <w:fldChar w:fldCharType="begin" w:fldLock="1"/>
      </w:r>
      <w:r w:rsidR="00B73410">
        <w:rPr>
          <w:bCs/>
          <w:sz w:val="24"/>
          <w:szCs w:val="24"/>
        </w:rPr>
        <w:instrText>ADDIN CSL_CITATION {"citationItems":[{"id":"ITEM-1","itemData":{"abstract":"Persepsi adalah suatu proses pengenalan atau identifikasi sesuatu dengan menggunakan panca indera (Drever, 2010). persepsi merupakan inti komunikasi. Persepsi memiliki peran yang sangat penting dalam keberhasilan komunikasi. Artinya, kecermatan dalam mempersepsikan stimuli inderawi mengantarkan kepada keberhasilan komunikasi. Sebaliknya, kegagalan dalam mempersepsi stimulus, menyebabkan mis-komunikasi (Suranto, 2011)","author":[{"dropping-particle":"","family":"Sugiyono","given":"Sugiyono","non-dropping-particle":"","parse-names":false,"suffix":""}],"container-title":"ALFABETA","id":"ITEM-1","issued":{"date-parts":[["2017"]]},"title":"Metode Penelitian Kuantitatif, Kualitatif Dan R &amp; D","type":"article-journal"},"uris":["http://www.mendeley.com/documents/?uuid=d0269968-96f0-42b0-a874-a69acfc5706a"]}],"mendeley":{"formattedCitation":"(Sugiyono, 2017)","plainTextFormattedCitation":"(Sugiyono, 2017)","previouslyFormattedCitation":"(Sugiyono, 2017)"},"properties":{"noteIndex":0},"schema":"https://github.com/citation-style-language/schema/raw/master/csl-citation.json"}</w:instrText>
      </w:r>
      <w:r>
        <w:rPr>
          <w:bCs/>
          <w:sz w:val="24"/>
          <w:szCs w:val="24"/>
        </w:rPr>
        <w:fldChar w:fldCharType="separate"/>
      </w:r>
      <w:r w:rsidRPr="00445FA1">
        <w:rPr>
          <w:bCs/>
          <w:noProof/>
          <w:sz w:val="24"/>
          <w:szCs w:val="24"/>
        </w:rPr>
        <w:t>(Sugiyono, 2017)</w:t>
      </w:r>
      <w:r>
        <w:rPr>
          <w:bCs/>
          <w:sz w:val="24"/>
          <w:szCs w:val="24"/>
        </w:rPr>
        <w:fldChar w:fldCharType="end"/>
      </w:r>
      <w:r w:rsidRPr="00445FA1">
        <w:rPr>
          <w:bCs/>
          <w:sz w:val="24"/>
          <w:szCs w:val="24"/>
        </w:rPr>
        <w:t xml:space="preserve">. </w:t>
      </w:r>
      <w:r w:rsidRPr="00137397">
        <w:rPr>
          <w:bCs/>
          <w:sz w:val="24"/>
          <w:szCs w:val="24"/>
        </w:rPr>
        <w:t>There are two types of panel data: a balanced panel, where each individual has the same number of time units, and an unbalanced panel, where the number of time units varies between individuals. This study uses a balanced panel, as each individual (company) has a consistent number of time units throughout the observation period.</w:t>
      </w:r>
    </w:p>
    <w:p w14:paraId="028F5D16" w14:textId="77777777" w:rsidR="00445FA1" w:rsidRDefault="00445FA1" w:rsidP="008D2463">
      <w:pPr>
        <w:contextualSpacing/>
        <w:jc w:val="both"/>
        <w:rPr>
          <w:b/>
          <w:sz w:val="28"/>
          <w:szCs w:val="28"/>
        </w:rPr>
      </w:pPr>
    </w:p>
    <w:p w14:paraId="50F2CAB7" w14:textId="77777777" w:rsidR="008D2463" w:rsidRDefault="00BC2F61" w:rsidP="008D2463">
      <w:pPr>
        <w:contextualSpacing/>
        <w:jc w:val="both"/>
        <w:rPr>
          <w:b/>
          <w:sz w:val="28"/>
          <w:szCs w:val="28"/>
        </w:rPr>
      </w:pPr>
      <w:r>
        <w:rPr>
          <w:b/>
          <w:sz w:val="28"/>
          <w:szCs w:val="28"/>
        </w:rPr>
        <w:t>Result</w:t>
      </w:r>
      <w:r w:rsidR="00636C67">
        <w:rPr>
          <w:b/>
          <w:sz w:val="28"/>
          <w:szCs w:val="28"/>
        </w:rPr>
        <w:t xml:space="preserve"> </w:t>
      </w:r>
      <w:r>
        <w:rPr>
          <w:b/>
          <w:sz w:val="28"/>
          <w:szCs w:val="28"/>
        </w:rPr>
        <w:t>and</w:t>
      </w:r>
      <w:r w:rsidR="00636C67">
        <w:rPr>
          <w:b/>
          <w:sz w:val="28"/>
          <w:szCs w:val="28"/>
        </w:rPr>
        <w:t xml:space="preserve"> </w:t>
      </w:r>
      <w:r>
        <w:rPr>
          <w:b/>
          <w:sz w:val="28"/>
          <w:szCs w:val="28"/>
        </w:rPr>
        <w:t>Discussion</w:t>
      </w:r>
    </w:p>
    <w:p w14:paraId="0D57B164" w14:textId="77777777" w:rsidR="00137397" w:rsidRPr="00137397" w:rsidRDefault="00BC2F61" w:rsidP="00137397">
      <w:pPr>
        <w:contextualSpacing/>
        <w:jc w:val="both"/>
        <w:rPr>
          <w:b/>
          <w:bCs/>
          <w:sz w:val="24"/>
          <w:szCs w:val="24"/>
          <w:lang w:val="en-ID"/>
        </w:rPr>
      </w:pPr>
      <w:r>
        <w:rPr>
          <w:b/>
          <w:bCs/>
          <w:sz w:val="24"/>
          <w:szCs w:val="24"/>
          <w:lang w:val="en"/>
        </w:rPr>
        <w:t>D</w:t>
      </w:r>
      <w:r w:rsidRPr="00137397">
        <w:rPr>
          <w:b/>
          <w:bCs/>
          <w:sz w:val="24"/>
          <w:szCs w:val="24"/>
          <w:lang w:val="en"/>
        </w:rPr>
        <w:t xml:space="preserve">escriptive </w:t>
      </w:r>
      <w:r>
        <w:rPr>
          <w:b/>
          <w:bCs/>
          <w:sz w:val="24"/>
          <w:szCs w:val="24"/>
          <w:lang w:val="en"/>
        </w:rPr>
        <w:t>s</w:t>
      </w:r>
      <w:r w:rsidRPr="00137397">
        <w:rPr>
          <w:b/>
          <w:bCs/>
          <w:sz w:val="24"/>
          <w:szCs w:val="24"/>
          <w:lang w:val="en"/>
        </w:rPr>
        <w:t>tatistics</w:t>
      </w:r>
    </w:p>
    <w:p w14:paraId="783D0AD0" w14:textId="77777777" w:rsidR="00C17D52" w:rsidRPr="00137397" w:rsidRDefault="00BC2F61" w:rsidP="00137397">
      <w:pPr>
        <w:ind w:firstLine="567"/>
        <w:contextualSpacing/>
        <w:jc w:val="both"/>
        <w:rPr>
          <w:sz w:val="24"/>
          <w:szCs w:val="24"/>
          <w:lang w:val="en-ID"/>
        </w:rPr>
      </w:pPr>
      <w:bookmarkStart w:id="2" w:name="_Hlk184188520"/>
      <w:r w:rsidRPr="00137397">
        <w:rPr>
          <w:sz w:val="24"/>
          <w:szCs w:val="24"/>
          <w:lang w:val="en"/>
        </w:rPr>
        <w:t xml:space="preserve">Descriptive statistics </w:t>
      </w:r>
      <w:bookmarkEnd w:id="2"/>
      <w:r w:rsidRPr="00137397">
        <w:rPr>
          <w:sz w:val="24"/>
          <w:szCs w:val="24"/>
          <w:lang w:val="en"/>
        </w:rPr>
        <w:t>are general descriptions used in research as an initial basis. This research is explained in the table below</w:t>
      </w:r>
      <w:r>
        <w:rPr>
          <w:sz w:val="24"/>
          <w:szCs w:val="24"/>
        </w:rPr>
        <w:t>.</w:t>
      </w:r>
      <w:r w:rsidR="00E43FDB" w:rsidRPr="00F23B88">
        <w:rPr>
          <w:sz w:val="24"/>
          <w:szCs w:val="24"/>
        </w:rPr>
        <w:t xml:space="preserve"> </w:t>
      </w:r>
    </w:p>
    <w:p w14:paraId="58D4C453" w14:textId="77777777" w:rsidR="00C17D52" w:rsidRDefault="00C17D52" w:rsidP="001C61F9">
      <w:pPr>
        <w:ind w:firstLine="11"/>
        <w:contextualSpacing/>
        <w:jc w:val="center"/>
        <w:rPr>
          <w:b/>
          <w:sz w:val="24"/>
          <w:szCs w:val="24"/>
        </w:rPr>
      </w:pPr>
    </w:p>
    <w:p w14:paraId="757C7A3E" w14:textId="77777777" w:rsidR="008D2463" w:rsidRPr="008D2463" w:rsidRDefault="00BC2F61" w:rsidP="001C61F9">
      <w:pPr>
        <w:ind w:firstLine="11"/>
        <w:contextualSpacing/>
        <w:jc w:val="center"/>
        <w:rPr>
          <w:b/>
          <w:sz w:val="24"/>
          <w:szCs w:val="24"/>
        </w:rPr>
      </w:pPr>
      <w:r w:rsidRPr="008D2463">
        <w:rPr>
          <w:b/>
          <w:sz w:val="24"/>
          <w:szCs w:val="24"/>
        </w:rPr>
        <w:t>Tab</w:t>
      </w:r>
      <w:r w:rsidR="001C61F9">
        <w:rPr>
          <w:b/>
          <w:sz w:val="24"/>
          <w:szCs w:val="24"/>
        </w:rPr>
        <w:t>le</w:t>
      </w:r>
      <w:r w:rsidRPr="008D2463">
        <w:rPr>
          <w:b/>
          <w:sz w:val="24"/>
          <w:szCs w:val="24"/>
        </w:rPr>
        <w:t xml:space="preserve"> </w:t>
      </w:r>
      <w:r w:rsidR="00C17D52">
        <w:rPr>
          <w:b/>
          <w:sz w:val="24"/>
          <w:szCs w:val="24"/>
        </w:rPr>
        <w:t>4</w:t>
      </w:r>
      <w:r w:rsidRPr="008D2463">
        <w:rPr>
          <w:b/>
          <w:sz w:val="24"/>
          <w:szCs w:val="24"/>
        </w:rPr>
        <w:t xml:space="preserve">. </w:t>
      </w:r>
      <w:r w:rsidR="00137397" w:rsidRPr="00137397">
        <w:rPr>
          <w:bCs/>
          <w:sz w:val="24"/>
          <w:szCs w:val="24"/>
          <w:lang w:val="en"/>
        </w:rPr>
        <w:t>Descriptive statistics</w:t>
      </w:r>
    </w:p>
    <w:tbl>
      <w:tblPr>
        <w:tblW w:w="0" w:type="auto"/>
        <w:jc w:val="center"/>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1420"/>
        <w:gridCol w:w="1250"/>
        <w:gridCol w:w="1250"/>
        <w:gridCol w:w="1250"/>
        <w:gridCol w:w="1776"/>
      </w:tblGrid>
      <w:tr w:rsidR="000B5092" w14:paraId="1E450E33" w14:textId="77777777" w:rsidTr="00137397">
        <w:trPr>
          <w:trHeight w:val="220"/>
          <w:jc w:val="center"/>
        </w:trPr>
        <w:tc>
          <w:tcPr>
            <w:tcW w:w="1420" w:type="dxa"/>
            <w:vAlign w:val="bottom"/>
          </w:tcPr>
          <w:p w14:paraId="436A9169" w14:textId="77777777" w:rsidR="00C17D52" w:rsidRPr="00CE5FA5" w:rsidRDefault="00C17D52" w:rsidP="00A34EE9">
            <w:pPr>
              <w:spacing w:line="360" w:lineRule="auto"/>
              <w:jc w:val="both"/>
              <w:rPr>
                <w:sz w:val="24"/>
              </w:rPr>
            </w:pPr>
          </w:p>
        </w:tc>
        <w:tc>
          <w:tcPr>
            <w:tcW w:w="1250" w:type="dxa"/>
          </w:tcPr>
          <w:p w14:paraId="6A5950C5" w14:textId="77777777" w:rsidR="00C17D52" w:rsidRPr="00CE5FA5" w:rsidRDefault="00BC2F61" w:rsidP="00A34EE9">
            <w:pPr>
              <w:spacing w:line="360" w:lineRule="auto"/>
              <w:jc w:val="center"/>
              <w:rPr>
                <w:sz w:val="24"/>
              </w:rPr>
            </w:pPr>
            <w:r>
              <w:rPr>
                <w:sz w:val="24"/>
              </w:rPr>
              <w:t>ROA</w:t>
            </w:r>
          </w:p>
        </w:tc>
        <w:tc>
          <w:tcPr>
            <w:tcW w:w="1250" w:type="dxa"/>
          </w:tcPr>
          <w:p w14:paraId="7F7C776B" w14:textId="77777777" w:rsidR="00C17D52" w:rsidRPr="00CE5FA5" w:rsidRDefault="00BC2F61" w:rsidP="00A34EE9">
            <w:pPr>
              <w:spacing w:line="360" w:lineRule="auto"/>
              <w:jc w:val="center"/>
              <w:rPr>
                <w:sz w:val="24"/>
              </w:rPr>
            </w:pPr>
            <w:r>
              <w:rPr>
                <w:sz w:val="24"/>
              </w:rPr>
              <w:t>Size</w:t>
            </w:r>
          </w:p>
        </w:tc>
        <w:tc>
          <w:tcPr>
            <w:tcW w:w="1250" w:type="dxa"/>
          </w:tcPr>
          <w:p w14:paraId="64FE4C9D" w14:textId="77777777" w:rsidR="00C17D52" w:rsidRPr="00CE5FA5" w:rsidRDefault="00BC2F61" w:rsidP="00A34EE9">
            <w:pPr>
              <w:spacing w:line="360" w:lineRule="auto"/>
              <w:jc w:val="center"/>
              <w:rPr>
                <w:sz w:val="24"/>
              </w:rPr>
            </w:pPr>
            <w:r>
              <w:rPr>
                <w:sz w:val="24"/>
              </w:rPr>
              <w:t>DPK</w:t>
            </w:r>
          </w:p>
        </w:tc>
        <w:tc>
          <w:tcPr>
            <w:tcW w:w="1776" w:type="dxa"/>
            <w:vAlign w:val="bottom"/>
          </w:tcPr>
          <w:p w14:paraId="0ACE0FE9" w14:textId="77777777" w:rsidR="00C17D52" w:rsidRPr="00CE5FA5" w:rsidRDefault="00BC2F61" w:rsidP="00A34EE9">
            <w:pPr>
              <w:spacing w:line="360" w:lineRule="auto"/>
              <w:jc w:val="center"/>
              <w:rPr>
                <w:sz w:val="24"/>
              </w:rPr>
            </w:pPr>
            <w:r>
              <w:rPr>
                <w:sz w:val="24"/>
              </w:rPr>
              <w:t>K</w:t>
            </w:r>
            <w:r w:rsidR="00137397">
              <w:rPr>
                <w:sz w:val="24"/>
              </w:rPr>
              <w:t>D</w:t>
            </w:r>
          </w:p>
        </w:tc>
      </w:tr>
      <w:tr w:rsidR="000B5092" w14:paraId="176C9E40" w14:textId="77777777" w:rsidTr="00137397">
        <w:trPr>
          <w:trHeight w:val="220"/>
          <w:jc w:val="center"/>
        </w:trPr>
        <w:tc>
          <w:tcPr>
            <w:tcW w:w="1420" w:type="dxa"/>
            <w:vAlign w:val="bottom"/>
          </w:tcPr>
          <w:p w14:paraId="5A3E88FA" w14:textId="77777777" w:rsidR="00C17D52" w:rsidRPr="00CE5FA5" w:rsidRDefault="00BC2F61" w:rsidP="00A34EE9">
            <w:pPr>
              <w:spacing w:line="360" w:lineRule="auto"/>
              <w:jc w:val="both"/>
              <w:rPr>
                <w:sz w:val="24"/>
              </w:rPr>
            </w:pPr>
            <w:r w:rsidRPr="00CE5FA5">
              <w:rPr>
                <w:sz w:val="24"/>
              </w:rPr>
              <w:t> Mean</w:t>
            </w:r>
          </w:p>
        </w:tc>
        <w:tc>
          <w:tcPr>
            <w:tcW w:w="1250" w:type="dxa"/>
            <w:vAlign w:val="bottom"/>
          </w:tcPr>
          <w:p w14:paraId="2C19BF7B" w14:textId="77777777" w:rsidR="00C17D52" w:rsidRPr="00CE5FA5" w:rsidRDefault="00BC2F61" w:rsidP="00C17D52">
            <w:pPr>
              <w:spacing w:line="360" w:lineRule="auto"/>
              <w:jc w:val="center"/>
              <w:rPr>
                <w:sz w:val="24"/>
              </w:rPr>
            </w:pPr>
            <w:r w:rsidRPr="00CE5FA5">
              <w:rPr>
                <w:sz w:val="24"/>
              </w:rPr>
              <w:t>1.453600</w:t>
            </w:r>
          </w:p>
        </w:tc>
        <w:tc>
          <w:tcPr>
            <w:tcW w:w="1250" w:type="dxa"/>
            <w:vAlign w:val="bottom"/>
          </w:tcPr>
          <w:p w14:paraId="72D3914C" w14:textId="77777777" w:rsidR="00C17D52" w:rsidRPr="00CE5FA5" w:rsidRDefault="00BC2F61" w:rsidP="00C17D52">
            <w:pPr>
              <w:spacing w:line="360" w:lineRule="auto"/>
              <w:jc w:val="center"/>
              <w:rPr>
                <w:sz w:val="24"/>
              </w:rPr>
            </w:pPr>
            <w:r w:rsidRPr="00CE5FA5">
              <w:rPr>
                <w:sz w:val="24"/>
              </w:rPr>
              <w:t>47.54396</w:t>
            </w:r>
          </w:p>
        </w:tc>
        <w:tc>
          <w:tcPr>
            <w:tcW w:w="1250" w:type="dxa"/>
            <w:vAlign w:val="bottom"/>
          </w:tcPr>
          <w:p w14:paraId="3979F29E" w14:textId="77777777" w:rsidR="00C17D52" w:rsidRPr="00CE5FA5" w:rsidRDefault="00BC2F61" w:rsidP="00C17D52">
            <w:pPr>
              <w:spacing w:line="360" w:lineRule="auto"/>
              <w:jc w:val="center"/>
              <w:rPr>
                <w:sz w:val="24"/>
              </w:rPr>
            </w:pPr>
            <w:r w:rsidRPr="00CE5FA5">
              <w:rPr>
                <w:sz w:val="24"/>
              </w:rPr>
              <w:t>28.56313</w:t>
            </w:r>
          </w:p>
        </w:tc>
        <w:tc>
          <w:tcPr>
            <w:tcW w:w="1776" w:type="dxa"/>
            <w:vAlign w:val="bottom"/>
          </w:tcPr>
          <w:p w14:paraId="165D615B" w14:textId="77777777" w:rsidR="00C17D52" w:rsidRPr="00CE5FA5" w:rsidRDefault="00BC2F61" w:rsidP="00C17D52">
            <w:pPr>
              <w:spacing w:line="360" w:lineRule="auto"/>
              <w:jc w:val="center"/>
              <w:rPr>
                <w:sz w:val="24"/>
              </w:rPr>
            </w:pPr>
            <w:r w:rsidRPr="00CE5FA5">
              <w:rPr>
                <w:sz w:val="24"/>
              </w:rPr>
              <w:t>14.52080</w:t>
            </w:r>
          </w:p>
        </w:tc>
      </w:tr>
      <w:tr w:rsidR="000B5092" w14:paraId="4016D674" w14:textId="77777777" w:rsidTr="00137397">
        <w:trPr>
          <w:trHeight w:val="220"/>
          <w:jc w:val="center"/>
        </w:trPr>
        <w:tc>
          <w:tcPr>
            <w:tcW w:w="1420" w:type="dxa"/>
            <w:vAlign w:val="bottom"/>
          </w:tcPr>
          <w:p w14:paraId="3CFFCDF3" w14:textId="77777777" w:rsidR="00C17D52" w:rsidRPr="00CE5FA5" w:rsidRDefault="00BC2F61" w:rsidP="00A34EE9">
            <w:pPr>
              <w:spacing w:line="360" w:lineRule="auto"/>
              <w:jc w:val="both"/>
              <w:rPr>
                <w:sz w:val="24"/>
              </w:rPr>
            </w:pPr>
            <w:r w:rsidRPr="00CE5FA5">
              <w:rPr>
                <w:sz w:val="24"/>
              </w:rPr>
              <w:t> Median</w:t>
            </w:r>
          </w:p>
        </w:tc>
        <w:tc>
          <w:tcPr>
            <w:tcW w:w="1250" w:type="dxa"/>
            <w:vAlign w:val="bottom"/>
          </w:tcPr>
          <w:p w14:paraId="3C8CAECE" w14:textId="77777777" w:rsidR="00C17D52" w:rsidRPr="00CE5FA5" w:rsidRDefault="00BC2F61" w:rsidP="00C17D52">
            <w:pPr>
              <w:spacing w:line="360" w:lineRule="auto"/>
              <w:jc w:val="center"/>
              <w:rPr>
                <w:sz w:val="24"/>
              </w:rPr>
            </w:pPr>
            <w:r w:rsidRPr="00CE5FA5">
              <w:rPr>
                <w:sz w:val="24"/>
              </w:rPr>
              <w:t>1.400000</w:t>
            </w:r>
          </w:p>
        </w:tc>
        <w:tc>
          <w:tcPr>
            <w:tcW w:w="1250" w:type="dxa"/>
            <w:vAlign w:val="bottom"/>
          </w:tcPr>
          <w:p w14:paraId="7C1AF245" w14:textId="77777777" w:rsidR="00C17D52" w:rsidRPr="00CE5FA5" w:rsidRDefault="00BC2F61" w:rsidP="00C17D52">
            <w:pPr>
              <w:spacing w:line="360" w:lineRule="auto"/>
              <w:jc w:val="center"/>
              <w:rPr>
                <w:sz w:val="24"/>
              </w:rPr>
            </w:pPr>
            <w:r w:rsidRPr="00CE5FA5">
              <w:rPr>
                <w:sz w:val="24"/>
              </w:rPr>
              <w:t>35.10000</w:t>
            </w:r>
          </w:p>
        </w:tc>
        <w:tc>
          <w:tcPr>
            <w:tcW w:w="1250" w:type="dxa"/>
            <w:vAlign w:val="bottom"/>
          </w:tcPr>
          <w:p w14:paraId="30CD2E50" w14:textId="77777777" w:rsidR="00C17D52" w:rsidRPr="00CE5FA5" w:rsidRDefault="00BC2F61" w:rsidP="00C17D52">
            <w:pPr>
              <w:spacing w:line="360" w:lineRule="auto"/>
              <w:jc w:val="center"/>
              <w:rPr>
                <w:sz w:val="24"/>
              </w:rPr>
            </w:pPr>
            <w:r w:rsidRPr="00CE5FA5">
              <w:rPr>
                <w:sz w:val="24"/>
              </w:rPr>
              <w:t>20.33000</w:t>
            </w:r>
          </w:p>
        </w:tc>
        <w:tc>
          <w:tcPr>
            <w:tcW w:w="1776" w:type="dxa"/>
            <w:vAlign w:val="bottom"/>
          </w:tcPr>
          <w:p w14:paraId="4A76869B" w14:textId="77777777" w:rsidR="00C17D52" w:rsidRPr="00CE5FA5" w:rsidRDefault="00BC2F61" w:rsidP="00C17D52">
            <w:pPr>
              <w:spacing w:line="360" w:lineRule="auto"/>
              <w:jc w:val="center"/>
              <w:rPr>
                <w:sz w:val="24"/>
              </w:rPr>
            </w:pPr>
            <w:r w:rsidRPr="00CE5FA5">
              <w:rPr>
                <w:sz w:val="24"/>
              </w:rPr>
              <w:t>3.260000</w:t>
            </w:r>
          </w:p>
        </w:tc>
      </w:tr>
      <w:tr w:rsidR="000B5092" w14:paraId="5C8047D0" w14:textId="77777777" w:rsidTr="00137397">
        <w:trPr>
          <w:trHeight w:val="220"/>
          <w:jc w:val="center"/>
        </w:trPr>
        <w:tc>
          <w:tcPr>
            <w:tcW w:w="1420" w:type="dxa"/>
            <w:vAlign w:val="bottom"/>
          </w:tcPr>
          <w:p w14:paraId="472DFA6E" w14:textId="77777777" w:rsidR="00C17D52" w:rsidRPr="00CE5FA5" w:rsidRDefault="00BC2F61" w:rsidP="00A34EE9">
            <w:pPr>
              <w:spacing w:line="360" w:lineRule="auto"/>
              <w:jc w:val="both"/>
              <w:rPr>
                <w:sz w:val="24"/>
              </w:rPr>
            </w:pPr>
            <w:r w:rsidRPr="00CE5FA5">
              <w:rPr>
                <w:sz w:val="24"/>
              </w:rPr>
              <w:t> Maximum</w:t>
            </w:r>
          </w:p>
        </w:tc>
        <w:tc>
          <w:tcPr>
            <w:tcW w:w="1250" w:type="dxa"/>
            <w:vAlign w:val="bottom"/>
          </w:tcPr>
          <w:p w14:paraId="49ED2314" w14:textId="77777777" w:rsidR="00C17D52" w:rsidRPr="00CE5FA5" w:rsidRDefault="00BC2F61" w:rsidP="00C17D52">
            <w:pPr>
              <w:spacing w:line="360" w:lineRule="auto"/>
              <w:jc w:val="center"/>
              <w:rPr>
                <w:sz w:val="24"/>
              </w:rPr>
            </w:pPr>
            <w:r w:rsidRPr="00CE5FA5">
              <w:rPr>
                <w:sz w:val="24"/>
              </w:rPr>
              <w:t>4.860000</w:t>
            </w:r>
          </w:p>
        </w:tc>
        <w:tc>
          <w:tcPr>
            <w:tcW w:w="1250" w:type="dxa"/>
            <w:vAlign w:val="bottom"/>
          </w:tcPr>
          <w:p w14:paraId="29679D4B" w14:textId="77777777" w:rsidR="00C17D52" w:rsidRPr="00CE5FA5" w:rsidRDefault="00BC2F61" w:rsidP="00C17D52">
            <w:pPr>
              <w:spacing w:line="360" w:lineRule="auto"/>
              <w:jc w:val="center"/>
              <w:rPr>
                <w:sz w:val="24"/>
              </w:rPr>
            </w:pPr>
            <w:r w:rsidRPr="00CE5FA5">
              <w:rPr>
                <w:sz w:val="24"/>
              </w:rPr>
              <w:t>233.2000</w:t>
            </w:r>
          </w:p>
        </w:tc>
        <w:tc>
          <w:tcPr>
            <w:tcW w:w="1250" w:type="dxa"/>
            <w:vAlign w:val="bottom"/>
          </w:tcPr>
          <w:p w14:paraId="070A16B9" w14:textId="77777777" w:rsidR="00C17D52" w:rsidRPr="00CE5FA5" w:rsidRDefault="00BC2F61" w:rsidP="00C17D52">
            <w:pPr>
              <w:spacing w:line="360" w:lineRule="auto"/>
              <w:jc w:val="center"/>
              <w:rPr>
                <w:sz w:val="24"/>
              </w:rPr>
            </w:pPr>
            <w:r w:rsidRPr="00CE5FA5">
              <w:rPr>
                <w:sz w:val="24"/>
              </w:rPr>
              <w:t>152.0000</w:t>
            </w:r>
          </w:p>
        </w:tc>
        <w:tc>
          <w:tcPr>
            <w:tcW w:w="1776" w:type="dxa"/>
            <w:vAlign w:val="bottom"/>
          </w:tcPr>
          <w:p w14:paraId="29166DD5" w14:textId="77777777" w:rsidR="00C17D52" w:rsidRPr="00CE5FA5" w:rsidRDefault="00BC2F61" w:rsidP="00C17D52">
            <w:pPr>
              <w:spacing w:line="360" w:lineRule="auto"/>
              <w:jc w:val="center"/>
              <w:rPr>
                <w:sz w:val="24"/>
              </w:rPr>
            </w:pPr>
            <w:r w:rsidRPr="00CE5FA5">
              <w:rPr>
                <w:sz w:val="24"/>
              </w:rPr>
              <w:t>142.1200</w:t>
            </w:r>
          </w:p>
        </w:tc>
      </w:tr>
      <w:tr w:rsidR="000B5092" w14:paraId="52C54D88" w14:textId="77777777" w:rsidTr="00137397">
        <w:trPr>
          <w:trHeight w:val="220"/>
          <w:jc w:val="center"/>
        </w:trPr>
        <w:tc>
          <w:tcPr>
            <w:tcW w:w="1420" w:type="dxa"/>
            <w:vAlign w:val="bottom"/>
          </w:tcPr>
          <w:p w14:paraId="404FE2AF" w14:textId="77777777" w:rsidR="00C17D52" w:rsidRPr="00CE5FA5" w:rsidRDefault="00BC2F61" w:rsidP="00A34EE9">
            <w:pPr>
              <w:spacing w:line="360" w:lineRule="auto"/>
              <w:jc w:val="both"/>
              <w:rPr>
                <w:sz w:val="24"/>
              </w:rPr>
            </w:pPr>
            <w:r w:rsidRPr="00CE5FA5">
              <w:rPr>
                <w:sz w:val="24"/>
              </w:rPr>
              <w:t> Minimum</w:t>
            </w:r>
          </w:p>
        </w:tc>
        <w:tc>
          <w:tcPr>
            <w:tcW w:w="1250" w:type="dxa"/>
            <w:vAlign w:val="bottom"/>
          </w:tcPr>
          <w:p w14:paraId="53B83189" w14:textId="77777777" w:rsidR="00C17D52" w:rsidRPr="00CE5FA5" w:rsidRDefault="00BC2F61" w:rsidP="00C17D52">
            <w:pPr>
              <w:spacing w:line="360" w:lineRule="auto"/>
              <w:jc w:val="center"/>
              <w:rPr>
                <w:sz w:val="24"/>
              </w:rPr>
            </w:pPr>
            <w:r w:rsidRPr="00CE5FA5">
              <w:rPr>
                <w:sz w:val="24"/>
              </w:rPr>
              <w:t>-0.710000</w:t>
            </w:r>
          </w:p>
        </w:tc>
        <w:tc>
          <w:tcPr>
            <w:tcW w:w="1250" w:type="dxa"/>
            <w:vAlign w:val="bottom"/>
          </w:tcPr>
          <w:p w14:paraId="5C512611" w14:textId="77777777" w:rsidR="00C17D52" w:rsidRPr="00CE5FA5" w:rsidRDefault="00BC2F61" w:rsidP="00C17D52">
            <w:pPr>
              <w:spacing w:line="360" w:lineRule="auto"/>
              <w:jc w:val="center"/>
              <w:rPr>
                <w:sz w:val="24"/>
              </w:rPr>
            </w:pPr>
            <w:r w:rsidRPr="00CE5FA5">
              <w:rPr>
                <w:sz w:val="24"/>
              </w:rPr>
              <w:t>0.590000</w:t>
            </w:r>
          </w:p>
        </w:tc>
        <w:tc>
          <w:tcPr>
            <w:tcW w:w="1250" w:type="dxa"/>
            <w:vAlign w:val="bottom"/>
          </w:tcPr>
          <w:p w14:paraId="302E3717" w14:textId="77777777" w:rsidR="00C17D52" w:rsidRPr="00CE5FA5" w:rsidRDefault="00BC2F61" w:rsidP="00C17D52">
            <w:pPr>
              <w:spacing w:line="360" w:lineRule="auto"/>
              <w:jc w:val="center"/>
              <w:rPr>
                <w:sz w:val="24"/>
              </w:rPr>
            </w:pPr>
            <w:r w:rsidRPr="00CE5FA5">
              <w:rPr>
                <w:sz w:val="24"/>
              </w:rPr>
              <w:t>0.130000</w:t>
            </w:r>
          </w:p>
        </w:tc>
        <w:tc>
          <w:tcPr>
            <w:tcW w:w="1776" w:type="dxa"/>
            <w:vAlign w:val="bottom"/>
          </w:tcPr>
          <w:p w14:paraId="780429D2" w14:textId="77777777" w:rsidR="00C17D52" w:rsidRPr="00CE5FA5" w:rsidRDefault="00BC2F61" w:rsidP="00C17D52">
            <w:pPr>
              <w:spacing w:line="360" w:lineRule="auto"/>
              <w:jc w:val="center"/>
              <w:rPr>
                <w:sz w:val="24"/>
              </w:rPr>
            </w:pPr>
            <w:r w:rsidRPr="00CE5FA5">
              <w:rPr>
                <w:sz w:val="24"/>
              </w:rPr>
              <w:t>0.000000</w:t>
            </w:r>
          </w:p>
        </w:tc>
      </w:tr>
      <w:tr w:rsidR="000B5092" w14:paraId="34ED38C3" w14:textId="77777777" w:rsidTr="00137397">
        <w:trPr>
          <w:trHeight w:val="220"/>
          <w:jc w:val="center"/>
        </w:trPr>
        <w:tc>
          <w:tcPr>
            <w:tcW w:w="1420" w:type="dxa"/>
            <w:vAlign w:val="bottom"/>
          </w:tcPr>
          <w:p w14:paraId="763C3823" w14:textId="77777777" w:rsidR="00C17D52" w:rsidRPr="00CE5FA5" w:rsidRDefault="00BC2F61" w:rsidP="00A34EE9">
            <w:pPr>
              <w:spacing w:line="360" w:lineRule="auto"/>
              <w:jc w:val="both"/>
              <w:rPr>
                <w:sz w:val="24"/>
              </w:rPr>
            </w:pPr>
            <w:r w:rsidRPr="00CE5FA5">
              <w:rPr>
                <w:sz w:val="24"/>
              </w:rPr>
              <w:t> Std. Dev.</w:t>
            </w:r>
          </w:p>
        </w:tc>
        <w:tc>
          <w:tcPr>
            <w:tcW w:w="1250" w:type="dxa"/>
            <w:vAlign w:val="bottom"/>
          </w:tcPr>
          <w:p w14:paraId="7F429FD5" w14:textId="77777777" w:rsidR="00C17D52" w:rsidRPr="00CE5FA5" w:rsidRDefault="00BC2F61" w:rsidP="00C17D52">
            <w:pPr>
              <w:spacing w:line="360" w:lineRule="auto"/>
              <w:jc w:val="center"/>
              <w:rPr>
                <w:sz w:val="24"/>
              </w:rPr>
            </w:pPr>
            <w:r w:rsidRPr="00CE5FA5">
              <w:rPr>
                <w:sz w:val="24"/>
              </w:rPr>
              <w:t>0.874380</w:t>
            </w:r>
          </w:p>
        </w:tc>
        <w:tc>
          <w:tcPr>
            <w:tcW w:w="1250" w:type="dxa"/>
            <w:vAlign w:val="bottom"/>
          </w:tcPr>
          <w:p w14:paraId="39FA97CE" w14:textId="77777777" w:rsidR="00C17D52" w:rsidRPr="00CE5FA5" w:rsidRDefault="00BC2F61" w:rsidP="00C17D52">
            <w:pPr>
              <w:spacing w:line="360" w:lineRule="auto"/>
              <w:jc w:val="center"/>
              <w:rPr>
                <w:sz w:val="24"/>
              </w:rPr>
            </w:pPr>
            <w:r w:rsidRPr="00CE5FA5">
              <w:rPr>
                <w:sz w:val="24"/>
              </w:rPr>
              <w:t>51.42761</w:t>
            </w:r>
          </w:p>
        </w:tc>
        <w:tc>
          <w:tcPr>
            <w:tcW w:w="1250" w:type="dxa"/>
            <w:vAlign w:val="bottom"/>
          </w:tcPr>
          <w:p w14:paraId="5D9E8330" w14:textId="77777777" w:rsidR="00C17D52" w:rsidRPr="00CE5FA5" w:rsidRDefault="00BC2F61" w:rsidP="00C17D52">
            <w:pPr>
              <w:spacing w:line="360" w:lineRule="auto"/>
              <w:jc w:val="center"/>
              <w:rPr>
                <w:sz w:val="24"/>
              </w:rPr>
            </w:pPr>
            <w:r w:rsidRPr="00CE5FA5">
              <w:rPr>
                <w:sz w:val="24"/>
              </w:rPr>
              <w:t>33.11819</w:t>
            </w:r>
          </w:p>
        </w:tc>
        <w:tc>
          <w:tcPr>
            <w:tcW w:w="1776" w:type="dxa"/>
            <w:vAlign w:val="bottom"/>
          </w:tcPr>
          <w:p w14:paraId="251BC1F9" w14:textId="77777777" w:rsidR="00C17D52" w:rsidRPr="00CE5FA5" w:rsidRDefault="00BC2F61" w:rsidP="00C17D52">
            <w:pPr>
              <w:spacing w:line="360" w:lineRule="auto"/>
              <w:jc w:val="center"/>
              <w:rPr>
                <w:sz w:val="24"/>
              </w:rPr>
            </w:pPr>
            <w:r w:rsidRPr="00CE5FA5">
              <w:rPr>
                <w:sz w:val="24"/>
              </w:rPr>
              <w:t>22.51166</w:t>
            </w:r>
          </w:p>
        </w:tc>
      </w:tr>
      <w:tr w:rsidR="000B5092" w14:paraId="75AF20B3" w14:textId="77777777" w:rsidTr="00137397">
        <w:trPr>
          <w:trHeight w:val="220"/>
          <w:jc w:val="center"/>
        </w:trPr>
        <w:tc>
          <w:tcPr>
            <w:tcW w:w="1420" w:type="dxa"/>
            <w:vAlign w:val="bottom"/>
          </w:tcPr>
          <w:p w14:paraId="0BA75960" w14:textId="77777777" w:rsidR="00C17D52" w:rsidRPr="00CE5FA5" w:rsidRDefault="00BC2F61" w:rsidP="00A34EE9">
            <w:pPr>
              <w:spacing w:line="360" w:lineRule="auto"/>
              <w:jc w:val="both"/>
              <w:rPr>
                <w:sz w:val="24"/>
              </w:rPr>
            </w:pPr>
            <w:r w:rsidRPr="00CE5FA5">
              <w:rPr>
                <w:sz w:val="24"/>
              </w:rPr>
              <w:t> Observations</w:t>
            </w:r>
          </w:p>
        </w:tc>
        <w:tc>
          <w:tcPr>
            <w:tcW w:w="1250" w:type="dxa"/>
            <w:vAlign w:val="bottom"/>
          </w:tcPr>
          <w:p w14:paraId="2E1C64C2" w14:textId="77777777" w:rsidR="00C17D52" w:rsidRPr="00CE5FA5" w:rsidRDefault="00BC2F61" w:rsidP="00C17D52">
            <w:pPr>
              <w:spacing w:line="360" w:lineRule="auto"/>
              <w:jc w:val="center"/>
              <w:rPr>
                <w:sz w:val="24"/>
              </w:rPr>
            </w:pPr>
            <w:r w:rsidRPr="00CE5FA5">
              <w:rPr>
                <w:sz w:val="24"/>
              </w:rPr>
              <w:t>75</w:t>
            </w:r>
          </w:p>
        </w:tc>
        <w:tc>
          <w:tcPr>
            <w:tcW w:w="1250" w:type="dxa"/>
            <w:vAlign w:val="bottom"/>
          </w:tcPr>
          <w:p w14:paraId="125238C0" w14:textId="77777777" w:rsidR="00C17D52" w:rsidRPr="00CE5FA5" w:rsidRDefault="00BC2F61" w:rsidP="00C17D52">
            <w:pPr>
              <w:spacing w:line="360" w:lineRule="auto"/>
              <w:jc w:val="center"/>
              <w:rPr>
                <w:sz w:val="24"/>
              </w:rPr>
            </w:pPr>
            <w:r w:rsidRPr="00CE5FA5">
              <w:rPr>
                <w:sz w:val="24"/>
              </w:rPr>
              <w:t>75</w:t>
            </w:r>
          </w:p>
        </w:tc>
        <w:tc>
          <w:tcPr>
            <w:tcW w:w="1250" w:type="dxa"/>
            <w:vAlign w:val="bottom"/>
          </w:tcPr>
          <w:p w14:paraId="7757E228" w14:textId="77777777" w:rsidR="00C17D52" w:rsidRPr="00CE5FA5" w:rsidRDefault="00BC2F61" w:rsidP="00C17D52">
            <w:pPr>
              <w:spacing w:line="360" w:lineRule="auto"/>
              <w:jc w:val="center"/>
              <w:rPr>
                <w:sz w:val="24"/>
              </w:rPr>
            </w:pPr>
            <w:r w:rsidRPr="00CE5FA5">
              <w:rPr>
                <w:sz w:val="24"/>
              </w:rPr>
              <w:t>75</w:t>
            </w:r>
          </w:p>
        </w:tc>
        <w:tc>
          <w:tcPr>
            <w:tcW w:w="1776" w:type="dxa"/>
            <w:vAlign w:val="bottom"/>
          </w:tcPr>
          <w:p w14:paraId="018C1285" w14:textId="77777777" w:rsidR="00C17D52" w:rsidRPr="00CE5FA5" w:rsidRDefault="00BC2F61" w:rsidP="00C17D52">
            <w:pPr>
              <w:spacing w:line="360" w:lineRule="auto"/>
              <w:jc w:val="center"/>
              <w:rPr>
                <w:sz w:val="24"/>
              </w:rPr>
            </w:pPr>
            <w:r w:rsidRPr="00CE5FA5">
              <w:rPr>
                <w:sz w:val="24"/>
              </w:rPr>
              <w:t>75</w:t>
            </w:r>
          </w:p>
        </w:tc>
      </w:tr>
    </w:tbl>
    <w:p w14:paraId="5A866F8F" w14:textId="77777777" w:rsidR="00C17D52" w:rsidRDefault="00C17D52" w:rsidP="00893346">
      <w:pPr>
        <w:jc w:val="both"/>
        <w:rPr>
          <w:sz w:val="24"/>
          <w:szCs w:val="24"/>
        </w:rPr>
      </w:pPr>
    </w:p>
    <w:p w14:paraId="7272A1FB" w14:textId="77777777" w:rsidR="008D2463" w:rsidRPr="00C17D52" w:rsidRDefault="00BC2F61" w:rsidP="00C17D52">
      <w:pPr>
        <w:ind w:firstLine="567"/>
        <w:jc w:val="both"/>
        <w:rPr>
          <w:sz w:val="24"/>
          <w:szCs w:val="24"/>
        </w:rPr>
      </w:pPr>
      <w:r w:rsidRPr="00137397">
        <w:rPr>
          <w:sz w:val="24"/>
          <w:szCs w:val="24"/>
        </w:rPr>
        <w:t xml:space="preserve">Based on the data processing results from 75 observations during the period 2019-2023, each variable exhibits characteristics that can be analyzed based on the minimum, maximum, mean, median, and standard deviation values. The dependent variable, Return on Assets (ROA), shows an average value of 1.4536, with a minimum value of -0.71, a maximum of 4.86, and a standard deviation of 0.8357, reflecting low data deviation and a uniform distribution of values. The independent variable Size has an average of 47.544, with a minimum value of 0.59, a maximum of 233.2, and a standard deviation of 51.428, indicating low deviation. The independent variable Third-Party Funds (DPK) records an average of 28.563, with a minimum value of 0.13, a maximum of 152, and a standard deviation of 33.118, showing a similar data distribution pattern. Finally, the independent variable, </w:t>
      </w:r>
      <w:r w:rsidRPr="00137397">
        <w:rPr>
          <w:sz w:val="24"/>
          <w:szCs w:val="24"/>
        </w:rPr>
        <w:lastRenderedPageBreak/>
        <w:t>Dividend Policy, has an average of 14.521, a minimum value of 0.00, a maximum of 142.12, and a standard deviation of 22.512, also reflecting a uniform data spread. All variables have an average more significant than the standard deviation, indicating that data deviation is relatively low</w:t>
      </w:r>
      <w:r w:rsidR="00C17D52" w:rsidRPr="00C17D52">
        <w:rPr>
          <w:sz w:val="24"/>
          <w:szCs w:val="24"/>
        </w:rPr>
        <w:t>.</w:t>
      </w:r>
    </w:p>
    <w:p w14:paraId="32BCFCA4" w14:textId="77777777" w:rsidR="008D2463" w:rsidRPr="00F23B88" w:rsidRDefault="008D2463" w:rsidP="008D2463">
      <w:pPr>
        <w:jc w:val="both"/>
      </w:pPr>
    </w:p>
    <w:p w14:paraId="1734ED22" w14:textId="77777777" w:rsidR="008D2463" w:rsidRPr="00C17D52" w:rsidRDefault="00BC2F61" w:rsidP="008D2463">
      <w:pPr>
        <w:jc w:val="both"/>
        <w:rPr>
          <w:b/>
          <w:bCs/>
          <w:sz w:val="24"/>
          <w:szCs w:val="24"/>
        </w:rPr>
      </w:pPr>
      <w:r w:rsidRPr="007E5A51">
        <w:rPr>
          <w:b/>
          <w:bCs/>
          <w:sz w:val="24"/>
          <w:szCs w:val="24"/>
        </w:rPr>
        <w:t xml:space="preserve">Test </w:t>
      </w:r>
      <w:r>
        <w:rPr>
          <w:b/>
          <w:bCs/>
          <w:sz w:val="24"/>
          <w:szCs w:val="24"/>
        </w:rPr>
        <w:t>M</w:t>
      </w:r>
      <w:r w:rsidRPr="007E5A51">
        <w:rPr>
          <w:b/>
          <w:bCs/>
          <w:sz w:val="24"/>
          <w:szCs w:val="24"/>
        </w:rPr>
        <w:t xml:space="preserve">odel </w:t>
      </w:r>
      <w:r>
        <w:rPr>
          <w:b/>
          <w:bCs/>
          <w:sz w:val="24"/>
          <w:szCs w:val="24"/>
        </w:rPr>
        <w:t>S</w:t>
      </w:r>
      <w:r w:rsidRPr="007E5A51">
        <w:rPr>
          <w:b/>
          <w:bCs/>
          <w:sz w:val="24"/>
          <w:szCs w:val="24"/>
        </w:rPr>
        <w:t>election</w:t>
      </w:r>
    </w:p>
    <w:p w14:paraId="6479E4C0" w14:textId="77777777" w:rsidR="00C17D52" w:rsidRPr="00C17D52" w:rsidRDefault="00BC2F61" w:rsidP="00C17D52">
      <w:pPr>
        <w:ind w:firstLine="567"/>
        <w:jc w:val="both"/>
        <w:rPr>
          <w:sz w:val="24"/>
          <w:szCs w:val="24"/>
          <w:lang w:val="en-ID"/>
        </w:rPr>
      </w:pPr>
      <w:r w:rsidRPr="007E5A51">
        <w:rPr>
          <w:sz w:val="24"/>
          <w:szCs w:val="24"/>
          <w:lang w:val="en-ID"/>
        </w:rPr>
        <w:t xml:space="preserve">The selection of a panel data regression model is an </w:t>
      </w:r>
      <w:r w:rsidR="00DD5BC2">
        <w:rPr>
          <w:sz w:val="24"/>
          <w:szCs w:val="24"/>
          <w:lang w:val="en-ID"/>
        </w:rPr>
        <w:t>essential</w:t>
      </w:r>
      <w:r w:rsidRPr="007E5A51">
        <w:rPr>
          <w:sz w:val="24"/>
          <w:szCs w:val="24"/>
          <w:lang w:val="en-ID"/>
        </w:rPr>
        <w:t xml:space="preserve"> step in determining the most appropriate approach between Common Effect, Fixed Effect, or Random Effect. This process involves several tests, namely the Chow test, Hausman test, and Lagrange Multiplier test, which are described as follows</w:t>
      </w:r>
      <w:r w:rsidRPr="00C17D52">
        <w:rPr>
          <w:sz w:val="24"/>
          <w:szCs w:val="24"/>
          <w:lang w:val="en-ID"/>
        </w:rPr>
        <w:t>:</w:t>
      </w:r>
    </w:p>
    <w:p w14:paraId="33498AD1" w14:textId="77777777" w:rsidR="00C17D52" w:rsidRDefault="00C17D52" w:rsidP="00C17D52">
      <w:pPr>
        <w:jc w:val="center"/>
        <w:rPr>
          <w:b/>
          <w:bCs/>
          <w:sz w:val="24"/>
          <w:szCs w:val="24"/>
        </w:rPr>
      </w:pPr>
    </w:p>
    <w:p w14:paraId="275F5170" w14:textId="77777777" w:rsidR="00C17D52" w:rsidRPr="00C17D52" w:rsidRDefault="00BC2F61" w:rsidP="00C17D52">
      <w:pPr>
        <w:jc w:val="center"/>
        <w:rPr>
          <w:sz w:val="24"/>
          <w:szCs w:val="24"/>
        </w:rPr>
      </w:pPr>
      <w:r w:rsidRPr="00C17D52">
        <w:rPr>
          <w:b/>
          <w:bCs/>
          <w:sz w:val="24"/>
          <w:szCs w:val="24"/>
        </w:rPr>
        <w:t>Tab</w:t>
      </w:r>
      <w:r w:rsidR="007E5A51">
        <w:rPr>
          <w:b/>
          <w:bCs/>
          <w:sz w:val="24"/>
          <w:szCs w:val="24"/>
        </w:rPr>
        <w:t>le</w:t>
      </w:r>
      <w:r w:rsidRPr="00C17D52">
        <w:rPr>
          <w:b/>
          <w:bCs/>
          <w:sz w:val="24"/>
          <w:szCs w:val="24"/>
        </w:rPr>
        <w:t xml:space="preserve"> 5. </w:t>
      </w:r>
      <w:r w:rsidR="007E5A51" w:rsidRPr="007E5A51">
        <w:rPr>
          <w:sz w:val="24"/>
          <w:szCs w:val="24"/>
        </w:rPr>
        <w:t>Chow Test Results</w:t>
      </w:r>
    </w:p>
    <w:tbl>
      <w:tblPr>
        <w:tblW w:w="0" w:type="auto"/>
        <w:jc w:val="center"/>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2970"/>
        <w:gridCol w:w="1150"/>
        <w:gridCol w:w="1150"/>
        <w:gridCol w:w="950"/>
      </w:tblGrid>
      <w:tr w:rsidR="000B5092" w14:paraId="487DB1E0" w14:textId="77777777" w:rsidTr="00C17D52">
        <w:trPr>
          <w:trHeight w:val="220"/>
          <w:jc w:val="center"/>
        </w:trPr>
        <w:tc>
          <w:tcPr>
            <w:tcW w:w="2970" w:type="dxa"/>
            <w:vAlign w:val="bottom"/>
          </w:tcPr>
          <w:p w14:paraId="0EC4038B" w14:textId="77777777" w:rsidR="00C17D52" w:rsidRPr="001F7F11" w:rsidRDefault="00BC2F61" w:rsidP="00A34EE9">
            <w:pPr>
              <w:spacing w:line="360" w:lineRule="auto"/>
              <w:jc w:val="both"/>
              <w:rPr>
                <w:sz w:val="24"/>
                <w:szCs w:val="24"/>
              </w:rPr>
            </w:pPr>
            <w:r w:rsidRPr="001F7F11">
              <w:rPr>
                <w:sz w:val="24"/>
                <w:szCs w:val="24"/>
              </w:rPr>
              <w:t>Effects Test</w:t>
            </w:r>
          </w:p>
        </w:tc>
        <w:tc>
          <w:tcPr>
            <w:tcW w:w="1150" w:type="dxa"/>
            <w:vAlign w:val="bottom"/>
          </w:tcPr>
          <w:p w14:paraId="10C89469" w14:textId="77777777" w:rsidR="00C17D52" w:rsidRPr="001F7F11" w:rsidRDefault="00BC2F61" w:rsidP="00C17D52">
            <w:pPr>
              <w:spacing w:line="360" w:lineRule="auto"/>
              <w:jc w:val="center"/>
              <w:rPr>
                <w:sz w:val="24"/>
                <w:szCs w:val="24"/>
              </w:rPr>
            </w:pPr>
            <w:r w:rsidRPr="001F7F11">
              <w:rPr>
                <w:sz w:val="24"/>
                <w:szCs w:val="24"/>
              </w:rPr>
              <w:t>Statistic</w:t>
            </w:r>
          </w:p>
        </w:tc>
        <w:tc>
          <w:tcPr>
            <w:tcW w:w="1150" w:type="dxa"/>
            <w:vAlign w:val="bottom"/>
          </w:tcPr>
          <w:p w14:paraId="79F23A5C" w14:textId="77777777" w:rsidR="00C17D52" w:rsidRPr="001F7F11" w:rsidRDefault="00BC2F61" w:rsidP="00C17D52">
            <w:pPr>
              <w:spacing w:line="360" w:lineRule="auto"/>
              <w:jc w:val="center"/>
              <w:rPr>
                <w:sz w:val="24"/>
                <w:szCs w:val="24"/>
              </w:rPr>
            </w:pPr>
            <w:r w:rsidRPr="001F7F11">
              <w:rPr>
                <w:sz w:val="24"/>
                <w:szCs w:val="24"/>
              </w:rPr>
              <w:t>d.f.</w:t>
            </w:r>
          </w:p>
        </w:tc>
        <w:tc>
          <w:tcPr>
            <w:tcW w:w="950" w:type="dxa"/>
            <w:vAlign w:val="bottom"/>
          </w:tcPr>
          <w:p w14:paraId="5CB5E0CB" w14:textId="77777777" w:rsidR="00C17D52" w:rsidRPr="001F7F11" w:rsidRDefault="00BC2F61" w:rsidP="00C17D52">
            <w:pPr>
              <w:spacing w:line="360" w:lineRule="auto"/>
              <w:jc w:val="center"/>
              <w:rPr>
                <w:sz w:val="24"/>
                <w:szCs w:val="24"/>
              </w:rPr>
            </w:pPr>
            <w:r w:rsidRPr="001F7F11">
              <w:rPr>
                <w:sz w:val="24"/>
                <w:szCs w:val="24"/>
              </w:rPr>
              <w:t>Prob.</w:t>
            </w:r>
          </w:p>
        </w:tc>
      </w:tr>
      <w:tr w:rsidR="000B5092" w14:paraId="42BF4587" w14:textId="77777777" w:rsidTr="00C17D52">
        <w:trPr>
          <w:trHeight w:val="220"/>
          <w:jc w:val="center"/>
        </w:trPr>
        <w:tc>
          <w:tcPr>
            <w:tcW w:w="2970" w:type="dxa"/>
            <w:vAlign w:val="bottom"/>
          </w:tcPr>
          <w:p w14:paraId="191DA7F5" w14:textId="77777777" w:rsidR="00C17D52" w:rsidRPr="001F7F11" w:rsidRDefault="00BC2F61" w:rsidP="00A34EE9">
            <w:pPr>
              <w:spacing w:line="360" w:lineRule="auto"/>
              <w:jc w:val="both"/>
              <w:rPr>
                <w:sz w:val="24"/>
                <w:szCs w:val="24"/>
              </w:rPr>
            </w:pPr>
            <w:r w:rsidRPr="001F7F11">
              <w:rPr>
                <w:sz w:val="24"/>
                <w:szCs w:val="24"/>
              </w:rPr>
              <w:t>Cross-section F</w:t>
            </w:r>
          </w:p>
        </w:tc>
        <w:tc>
          <w:tcPr>
            <w:tcW w:w="1150" w:type="dxa"/>
            <w:vAlign w:val="bottom"/>
          </w:tcPr>
          <w:p w14:paraId="21C123B8" w14:textId="77777777" w:rsidR="00C17D52" w:rsidRPr="001F7F11" w:rsidRDefault="00BC2F61" w:rsidP="00C17D52">
            <w:pPr>
              <w:spacing w:line="360" w:lineRule="auto"/>
              <w:jc w:val="center"/>
              <w:rPr>
                <w:sz w:val="24"/>
                <w:szCs w:val="24"/>
              </w:rPr>
            </w:pPr>
            <w:r w:rsidRPr="001F7F11">
              <w:rPr>
                <w:sz w:val="24"/>
                <w:szCs w:val="24"/>
              </w:rPr>
              <w:t>4.427584</w:t>
            </w:r>
          </w:p>
        </w:tc>
        <w:tc>
          <w:tcPr>
            <w:tcW w:w="1150" w:type="dxa"/>
            <w:vAlign w:val="bottom"/>
          </w:tcPr>
          <w:p w14:paraId="098408CA" w14:textId="77777777" w:rsidR="00C17D52" w:rsidRPr="001F7F11" w:rsidRDefault="00BC2F61" w:rsidP="00C17D52">
            <w:pPr>
              <w:spacing w:line="360" w:lineRule="auto"/>
              <w:jc w:val="center"/>
              <w:rPr>
                <w:sz w:val="24"/>
                <w:szCs w:val="24"/>
              </w:rPr>
            </w:pPr>
            <w:r w:rsidRPr="001F7F11">
              <w:rPr>
                <w:sz w:val="24"/>
                <w:szCs w:val="24"/>
              </w:rPr>
              <w:t>(14,57)</w:t>
            </w:r>
          </w:p>
        </w:tc>
        <w:tc>
          <w:tcPr>
            <w:tcW w:w="950" w:type="dxa"/>
            <w:vAlign w:val="bottom"/>
          </w:tcPr>
          <w:p w14:paraId="2951D0AD" w14:textId="77777777" w:rsidR="00C17D52" w:rsidRPr="001F7F11" w:rsidRDefault="00BC2F61" w:rsidP="00C17D52">
            <w:pPr>
              <w:spacing w:line="360" w:lineRule="auto"/>
              <w:jc w:val="center"/>
              <w:rPr>
                <w:sz w:val="24"/>
                <w:szCs w:val="24"/>
              </w:rPr>
            </w:pPr>
            <w:r w:rsidRPr="001F7F11">
              <w:rPr>
                <w:sz w:val="24"/>
                <w:szCs w:val="24"/>
              </w:rPr>
              <w:t>0.0000</w:t>
            </w:r>
          </w:p>
        </w:tc>
      </w:tr>
      <w:tr w:rsidR="000B5092" w14:paraId="04517C3E" w14:textId="77777777" w:rsidTr="00C17D52">
        <w:trPr>
          <w:trHeight w:val="220"/>
          <w:jc w:val="center"/>
        </w:trPr>
        <w:tc>
          <w:tcPr>
            <w:tcW w:w="2970" w:type="dxa"/>
            <w:vAlign w:val="bottom"/>
          </w:tcPr>
          <w:p w14:paraId="3EDB2D3A" w14:textId="77777777" w:rsidR="00C17D52" w:rsidRPr="001F7F11" w:rsidRDefault="00BC2F61" w:rsidP="00A34EE9">
            <w:pPr>
              <w:spacing w:line="360" w:lineRule="auto"/>
              <w:jc w:val="both"/>
              <w:rPr>
                <w:sz w:val="24"/>
                <w:szCs w:val="24"/>
              </w:rPr>
            </w:pPr>
            <w:r w:rsidRPr="001F7F11">
              <w:rPr>
                <w:sz w:val="24"/>
                <w:szCs w:val="24"/>
              </w:rPr>
              <w:t>Cross-section Chi-square</w:t>
            </w:r>
          </w:p>
        </w:tc>
        <w:tc>
          <w:tcPr>
            <w:tcW w:w="1150" w:type="dxa"/>
            <w:vAlign w:val="bottom"/>
          </w:tcPr>
          <w:p w14:paraId="7962D419" w14:textId="77777777" w:rsidR="00C17D52" w:rsidRPr="001F7F11" w:rsidRDefault="00BC2F61" w:rsidP="00C17D52">
            <w:pPr>
              <w:spacing w:line="360" w:lineRule="auto"/>
              <w:jc w:val="center"/>
              <w:rPr>
                <w:sz w:val="24"/>
                <w:szCs w:val="24"/>
              </w:rPr>
            </w:pPr>
            <w:r w:rsidRPr="001F7F11">
              <w:rPr>
                <w:sz w:val="24"/>
                <w:szCs w:val="24"/>
              </w:rPr>
              <w:t>55.196703</w:t>
            </w:r>
          </w:p>
        </w:tc>
        <w:tc>
          <w:tcPr>
            <w:tcW w:w="1150" w:type="dxa"/>
            <w:vAlign w:val="bottom"/>
          </w:tcPr>
          <w:p w14:paraId="5F6FAE9A" w14:textId="77777777" w:rsidR="00C17D52" w:rsidRPr="001F7F11" w:rsidRDefault="00BC2F61" w:rsidP="00C17D52">
            <w:pPr>
              <w:spacing w:line="360" w:lineRule="auto"/>
              <w:jc w:val="center"/>
              <w:rPr>
                <w:sz w:val="24"/>
                <w:szCs w:val="24"/>
              </w:rPr>
            </w:pPr>
            <w:r w:rsidRPr="001F7F11">
              <w:rPr>
                <w:sz w:val="24"/>
                <w:szCs w:val="24"/>
              </w:rPr>
              <w:t>14</w:t>
            </w:r>
          </w:p>
        </w:tc>
        <w:tc>
          <w:tcPr>
            <w:tcW w:w="950" w:type="dxa"/>
            <w:vAlign w:val="bottom"/>
          </w:tcPr>
          <w:p w14:paraId="5A8A3CF5" w14:textId="77777777" w:rsidR="00C17D52" w:rsidRPr="001F7F11" w:rsidRDefault="00BC2F61" w:rsidP="00C17D52">
            <w:pPr>
              <w:spacing w:line="360" w:lineRule="auto"/>
              <w:jc w:val="center"/>
              <w:rPr>
                <w:sz w:val="24"/>
                <w:szCs w:val="24"/>
              </w:rPr>
            </w:pPr>
            <w:r w:rsidRPr="001F7F11">
              <w:rPr>
                <w:sz w:val="24"/>
                <w:szCs w:val="24"/>
              </w:rPr>
              <w:t>0.0000</w:t>
            </w:r>
          </w:p>
        </w:tc>
      </w:tr>
    </w:tbl>
    <w:p w14:paraId="451805F4" w14:textId="77777777" w:rsidR="00C17D52" w:rsidRPr="00C17D52" w:rsidRDefault="00C17D52" w:rsidP="00C17D52">
      <w:pPr>
        <w:jc w:val="center"/>
      </w:pPr>
    </w:p>
    <w:p w14:paraId="45A93AA8" w14:textId="77777777" w:rsidR="008D2463" w:rsidRPr="00C17D52" w:rsidRDefault="00BC2F61" w:rsidP="00C17D52">
      <w:pPr>
        <w:ind w:firstLine="567"/>
        <w:jc w:val="both"/>
        <w:rPr>
          <w:sz w:val="24"/>
          <w:szCs w:val="24"/>
        </w:rPr>
      </w:pPr>
      <w:r w:rsidRPr="007E5A51">
        <w:rPr>
          <w:sz w:val="24"/>
          <w:szCs w:val="24"/>
        </w:rPr>
        <w:t>Based on the Chow Test in Table 5 above, it can be seen from the significant level value of the Cross section chi-square is 0.0000 &lt; 0.05, which means that the model used is the Fixed Effect Model. Next, the Hausman test was carried out with the following results.</w:t>
      </w:r>
    </w:p>
    <w:p w14:paraId="083C10C8" w14:textId="77777777" w:rsidR="00182BC9" w:rsidRDefault="00182BC9" w:rsidP="008D2463">
      <w:pPr>
        <w:jc w:val="both"/>
      </w:pPr>
    </w:p>
    <w:p w14:paraId="035C82A8" w14:textId="77777777" w:rsidR="00C17D52" w:rsidRPr="007E5A51" w:rsidRDefault="00BC2F61" w:rsidP="007E5A51">
      <w:pPr>
        <w:jc w:val="center"/>
        <w:rPr>
          <w:sz w:val="24"/>
          <w:szCs w:val="24"/>
          <w:lang w:val="en-ID"/>
        </w:rPr>
      </w:pPr>
      <w:r w:rsidRPr="00182BC9">
        <w:rPr>
          <w:b/>
          <w:bCs/>
          <w:sz w:val="24"/>
          <w:szCs w:val="24"/>
        </w:rPr>
        <w:t>Tab</w:t>
      </w:r>
      <w:r w:rsidR="007E5A51">
        <w:rPr>
          <w:b/>
          <w:bCs/>
          <w:sz w:val="24"/>
          <w:szCs w:val="24"/>
        </w:rPr>
        <w:t>le</w:t>
      </w:r>
      <w:r w:rsidRPr="00182BC9">
        <w:rPr>
          <w:b/>
          <w:bCs/>
          <w:sz w:val="24"/>
          <w:szCs w:val="24"/>
        </w:rPr>
        <w:t xml:space="preserve"> 6. </w:t>
      </w:r>
      <w:r w:rsidR="007E5A51" w:rsidRPr="007E5A51">
        <w:rPr>
          <w:sz w:val="24"/>
          <w:szCs w:val="24"/>
          <w:lang w:val="en"/>
        </w:rPr>
        <w:t>Hausman Test Results</w:t>
      </w:r>
    </w:p>
    <w:tbl>
      <w:tblPr>
        <w:tblW w:w="0" w:type="auto"/>
        <w:jc w:val="center"/>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2970"/>
        <w:gridCol w:w="1150"/>
        <w:gridCol w:w="1150"/>
        <w:gridCol w:w="950"/>
      </w:tblGrid>
      <w:tr w:rsidR="000B5092" w14:paraId="0100AC59" w14:textId="77777777" w:rsidTr="00182BC9">
        <w:trPr>
          <w:trHeight w:val="220"/>
          <w:jc w:val="center"/>
        </w:trPr>
        <w:tc>
          <w:tcPr>
            <w:tcW w:w="2970" w:type="dxa"/>
            <w:vAlign w:val="center"/>
          </w:tcPr>
          <w:p w14:paraId="0F0D0AC6" w14:textId="77777777" w:rsidR="00182BC9" w:rsidRPr="00182BC9" w:rsidRDefault="00BC2F61" w:rsidP="00182BC9">
            <w:pPr>
              <w:rPr>
                <w:sz w:val="24"/>
                <w:szCs w:val="24"/>
              </w:rPr>
            </w:pPr>
            <w:r w:rsidRPr="00182BC9">
              <w:rPr>
                <w:sz w:val="24"/>
                <w:szCs w:val="24"/>
              </w:rPr>
              <w:t>Test Summary</w:t>
            </w:r>
          </w:p>
        </w:tc>
        <w:tc>
          <w:tcPr>
            <w:tcW w:w="1150" w:type="dxa"/>
            <w:vAlign w:val="center"/>
          </w:tcPr>
          <w:p w14:paraId="02631A10" w14:textId="77777777" w:rsidR="00182BC9" w:rsidRPr="00182BC9" w:rsidRDefault="00BC2F61" w:rsidP="00182BC9">
            <w:pPr>
              <w:jc w:val="center"/>
              <w:rPr>
                <w:sz w:val="24"/>
                <w:szCs w:val="24"/>
              </w:rPr>
            </w:pPr>
            <w:r w:rsidRPr="00182BC9">
              <w:rPr>
                <w:sz w:val="24"/>
                <w:szCs w:val="24"/>
              </w:rPr>
              <w:t>Chi-Sq. Statistic</w:t>
            </w:r>
          </w:p>
        </w:tc>
        <w:tc>
          <w:tcPr>
            <w:tcW w:w="1150" w:type="dxa"/>
            <w:vAlign w:val="center"/>
          </w:tcPr>
          <w:p w14:paraId="2EEB79E8" w14:textId="77777777" w:rsidR="00182BC9" w:rsidRPr="00182BC9" w:rsidRDefault="00BC2F61" w:rsidP="00182BC9">
            <w:pPr>
              <w:jc w:val="center"/>
              <w:rPr>
                <w:sz w:val="24"/>
                <w:szCs w:val="24"/>
              </w:rPr>
            </w:pPr>
            <w:r w:rsidRPr="00182BC9">
              <w:rPr>
                <w:sz w:val="24"/>
                <w:szCs w:val="24"/>
              </w:rPr>
              <w:t>Chi-Sq. d.f.</w:t>
            </w:r>
          </w:p>
        </w:tc>
        <w:tc>
          <w:tcPr>
            <w:tcW w:w="950" w:type="dxa"/>
            <w:vAlign w:val="center"/>
          </w:tcPr>
          <w:p w14:paraId="1AB08590" w14:textId="77777777" w:rsidR="00182BC9" w:rsidRPr="00182BC9" w:rsidRDefault="00BC2F61" w:rsidP="00182BC9">
            <w:pPr>
              <w:jc w:val="center"/>
              <w:rPr>
                <w:sz w:val="24"/>
                <w:szCs w:val="24"/>
              </w:rPr>
            </w:pPr>
            <w:r w:rsidRPr="00182BC9">
              <w:rPr>
                <w:sz w:val="24"/>
                <w:szCs w:val="24"/>
              </w:rPr>
              <w:t>Prob.</w:t>
            </w:r>
          </w:p>
        </w:tc>
      </w:tr>
      <w:tr w:rsidR="000B5092" w14:paraId="4DE8C49E" w14:textId="77777777" w:rsidTr="00A34EE9">
        <w:trPr>
          <w:trHeight w:val="220"/>
          <w:jc w:val="center"/>
        </w:trPr>
        <w:tc>
          <w:tcPr>
            <w:tcW w:w="2970" w:type="dxa"/>
            <w:vAlign w:val="bottom"/>
          </w:tcPr>
          <w:p w14:paraId="11E08D4E" w14:textId="77777777" w:rsidR="00182BC9" w:rsidRPr="00182BC9" w:rsidRDefault="00BC2F61" w:rsidP="00182BC9">
            <w:pPr>
              <w:spacing w:line="360" w:lineRule="auto"/>
              <w:jc w:val="both"/>
              <w:rPr>
                <w:sz w:val="24"/>
                <w:szCs w:val="24"/>
              </w:rPr>
            </w:pPr>
            <w:r w:rsidRPr="00182BC9">
              <w:rPr>
                <w:sz w:val="24"/>
                <w:szCs w:val="24"/>
              </w:rPr>
              <w:t>Cross-section random</w:t>
            </w:r>
          </w:p>
        </w:tc>
        <w:tc>
          <w:tcPr>
            <w:tcW w:w="1150" w:type="dxa"/>
            <w:vAlign w:val="bottom"/>
          </w:tcPr>
          <w:p w14:paraId="6E999AF0" w14:textId="77777777" w:rsidR="00182BC9" w:rsidRPr="00182BC9" w:rsidRDefault="00BC2F61" w:rsidP="00182BC9">
            <w:pPr>
              <w:spacing w:line="360" w:lineRule="auto"/>
              <w:jc w:val="center"/>
              <w:rPr>
                <w:sz w:val="24"/>
                <w:szCs w:val="24"/>
              </w:rPr>
            </w:pPr>
            <w:r w:rsidRPr="00182BC9">
              <w:rPr>
                <w:sz w:val="24"/>
                <w:szCs w:val="24"/>
              </w:rPr>
              <w:t>2.897062</w:t>
            </w:r>
          </w:p>
        </w:tc>
        <w:tc>
          <w:tcPr>
            <w:tcW w:w="1150" w:type="dxa"/>
            <w:vAlign w:val="bottom"/>
          </w:tcPr>
          <w:p w14:paraId="15D9D7F9" w14:textId="77777777" w:rsidR="00182BC9" w:rsidRPr="00182BC9" w:rsidRDefault="00BC2F61" w:rsidP="00182BC9">
            <w:pPr>
              <w:spacing w:line="360" w:lineRule="auto"/>
              <w:jc w:val="center"/>
              <w:rPr>
                <w:sz w:val="24"/>
                <w:szCs w:val="24"/>
              </w:rPr>
            </w:pPr>
            <w:r w:rsidRPr="00182BC9">
              <w:rPr>
                <w:sz w:val="24"/>
                <w:szCs w:val="24"/>
              </w:rPr>
              <w:t>3</w:t>
            </w:r>
          </w:p>
        </w:tc>
        <w:tc>
          <w:tcPr>
            <w:tcW w:w="950" w:type="dxa"/>
            <w:vAlign w:val="bottom"/>
          </w:tcPr>
          <w:p w14:paraId="613F212E" w14:textId="77777777" w:rsidR="00182BC9" w:rsidRPr="00182BC9" w:rsidRDefault="00BC2F61" w:rsidP="00182BC9">
            <w:pPr>
              <w:spacing w:line="360" w:lineRule="auto"/>
              <w:jc w:val="center"/>
              <w:rPr>
                <w:sz w:val="24"/>
                <w:szCs w:val="24"/>
              </w:rPr>
            </w:pPr>
            <w:r w:rsidRPr="00182BC9">
              <w:rPr>
                <w:sz w:val="24"/>
                <w:szCs w:val="24"/>
              </w:rPr>
              <w:t>0.4078</w:t>
            </w:r>
          </w:p>
        </w:tc>
      </w:tr>
    </w:tbl>
    <w:p w14:paraId="75CBB23E" w14:textId="77777777" w:rsidR="008D2463" w:rsidRPr="00F23B88" w:rsidRDefault="008D2463" w:rsidP="00182BC9">
      <w:pPr>
        <w:jc w:val="center"/>
      </w:pPr>
    </w:p>
    <w:p w14:paraId="2281F45A" w14:textId="77777777" w:rsidR="008D2463" w:rsidRPr="007E5A51" w:rsidRDefault="00BC2F61" w:rsidP="007E5A51">
      <w:pPr>
        <w:ind w:firstLine="567"/>
        <w:jc w:val="both"/>
        <w:rPr>
          <w:sz w:val="24"/>
          <w:szCs w:val="24"/>
          <w:lang w:val="en-ID"/>
        </w:rPr>
      </w:pPr>
      <w:r w:rsidRPr="007E5A51">
        <w:rPr>
          <w:sz w:val="24"/>
          <w:szCs w:val="24"/>
          <w:lang w:val="en-ID"/>
        </w:rPr>
        <w:t>Based on the Hausman test in Table 6 above, the probability value is 0.4078, which is greater than 0.05. Therefore, the model selected is the Random Effect Model (REM). The next step is to conduct the Lagrange Multiplier test to determine the best model between REM and the Common Effect Model (CEM), as follows</w:t>
      </w:r>
      <w:r w:rsidR="00182BC9">
        <w:rPr>
          <w:sz w:val="24"/>
          <w:szCs w:val="24"/>
        </w:rPr>
        <w:t>:</w:t>
      </w:r>
    </w:p>
    <w:p w14:paraId="6E87F609" w14:textId="77777777" w:rsidR="00182BC9" w:rsidRDefault="00182BC9" w:rsidP="00182BC9">
      <w:pPr>
        <w:ind w:firstLine="567"/>
        <w:jc w:val="both"/>
        <w:rPr>
          <w:sz w:val="24"/>
          <w:szCs w:val="24"/>
        </w:rPr>
      </w:pPr>
    </w:p>
    <w:p w14:paraId="70F6B333" w14:textId="77777777" w:rsidR="00182BC9" w:rsidRPr="007E5A51" w:rsidRDefault="00BC2F61" w:rsidP="007E5A51">
      <w:pPr>
        <w:ind w:firstLine="567"/>
        <w:jc w:val="center"/>
        <w:rPr>
          <w:sz w:val="24"/>
          <w:szCs w:val="24"/>
          <w:lang w:val="en-ID"/>
        </w:rPr>
      </w:pPr>
      <w:r>
        <w:rPr>
          <w:b/>
          <w:bCs/>
          <w:sz w:val="24"/>
          <w:szCs w:val="24"/>
        </w:rPr>
        <w:t>Tab</w:t>
      </w:r>
      <w:r w:rsidR="007E5A51">
        <w:rPr>
          <w:b/>
          <w:bCs/>
          <w:sz w:val="24"/>
          <w:szCs w:val="24"/>
        </w:rPr>
        <w:t>le</w:t>
      </w:r>
      <w:r>
        <w:rPr>
          <w:b/>
          <w:bCs/>
          <w:sz w:val="24"/>
          <w:szCs w:val="24"/>
        </w:rPr>
        <w:t xml:space="preserve"> 7. </w:t>
      </w:r>
      <w:r w:rsidR="007E5A51" w:rsidRPr="007E5A51">
        <w:rPr>
          <w:sz w:val="24"/>
          <w:szCs w:val="24"/>
          <w:lang w:val="en"/>
        </w:rPr>
        <w:t>Lagrange Multiplier Test Results</w:t>
      </w:r>
    </w:p>
    <w:tbl>
      <w:tblPr>
        <w:tblW w:w="0" w:type="auto"/>
        <w:jc w:val="center"/>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2970"/>
        <w:gridCol w:w="1150"/>
        <w:gridCol w:w="1150"/>
        <w:gridCol w:w="1109"/>
      </w:tblGrid>
      <w:tr w:rsidR="000B5092" w14:paraId="7F87C54B" w14:textId="77777777" w:rsidTr="00182BC9">
        <w:trPr>
          <w:trHeight w:val="220"/>
          <w:jc w:val="center"/>
        </w:trPr>
        <w:tc>
          <w:tcPr>
            <w:tcW w:w="2970" w:type="dxa"/>
            <w:vAlign w:val="center"/>
          </w:tcPr>
          <w:p w14:paraId="43459627" w14:textId="77777777" w:rsidR="00182BC9" w:rsidRPr="00182BC9" w:rsidRDefault="00182BC9" w:rsidP="00182BC9">
            <w:pPr>
              <w:rPr>
                <w:sz w:val="24"/>
                <w:szCs w:val="24"/>
              </w:rPr>
            </w:pPr>
          </w:p>
        </w:tc>
        <w:tc>
          <w:tcPr>
            <w:tcW w:w="1150" w:type="dxa"/>
            <w:vAlign w:val="center"/>
          </w:tcPr>
          <w:p w14:paraId="5F9E1BED" w14:textId="77777777" w:rsidR="00182BC9" w:rsidRPr="00182BC9" w:rsidRDefault="00BC2F61" w:rsidP="00182BC9">
            <w:pPr>
              <w:jc w:val="center"/>
              <w:rPr>
                <w:sz w:val="24"/>
                <w:szCs w:val="24"/>
              </w:rPr>
            </w:pPr>
            <w:r w:rsidRPr="00DC53F6">
              <w:rPr>
                <w:sz w:val="24"/>
                <w:szCs w:val="24"/>
              </w:rPr>
              <w:t>Cross-section</w:t>
            </w:r>
          </w:p>
        </w:tc>
        <w:tc>
          <w:tcPr>
            <w:tcW w:w="1150" w:type="dxa"/>
            <w:vAlign w:val="center"/>
          </w:tcPr>
          <w:p w14:paraId="4FA2310F" w14:textId="77777777" w:rsidR="00182BC9" w:rsidRPr="00182BC9" w:rsidRDefault="00BC2F61" w:rsidP="00182BC9">
            <w:pPr>
              <w:jc w:val="center"/>
              <w:rPr>
                <w:sz w:val="24"/>
                <w:szCs w:val="24"/>
              </w:rPr>
            </w:pPr>
            <w:r w:rsidRPr="00DC53F6">
              <w:rPr>
                <w:sz w:val="24"/>
                <w:szCs w:val="24"/>
              </w:rPr>
              <w:t>Time</w:t>
            </w:r>
          </w:p>
        </w:tc>
        <w:tc>
          <w:tcPr>
            <w:tcW w:w="1109" w:type="dxa"/>
            <w:vAlign w:val="center"/>
          </w:tcPr>
          <w:p w14:paraId="1C40DDC0" w14:textId="77777777" w:rsidR="00182BC9" w:rsidRPr="00182BC9" w:rsidRDefault="00BC2F61" w:rsidP="00182BC9">
            <w:pPr>
              <w:jc w:val="center"/>
              <w:rPr>
                <w:sz w:val="24"/>
                <w:szCs w:val="24"/>
              </w:rPr>
            </w:pPr>
            <w:r w:rsidRPr="00DC53F6">
              <w:rPr>
                <w:sz w:val="24"/>
                <w:szCs w:val="24"/>
              </w:rPr>
              <w:t>Both</w:t>
            </w:r>
          </w:p>
        </w:tc>
      </w:tr>
      <w:tr w:rsidR="000B5092" w14:paraId="79C66410" w14:textId="77777777" w:rsidTr="00182BC9">
        <w:trPr>
          <w:trHeight w:val="220"/>
          <w:jc w:val="center"/>
        </w:trPr>
        <w:tc>
          <w:tcPr>
            <w:tcW w:w="2970" w:type="dxa"/>
            <w:vAlign w:val="bottom"/>
          </w:tcPr>
          <w:p w14:paraId="16A8D771" w14:textId="77777777" w:rsidR="00182BC9" w:rsidRPr="00182BC9" w:rsidRDefault="00BC2F61" w:rsidP="00182BC9">
            <w:pPr>
              <w:spacing w:line="360" w:lineRule="auto"/>
              <w:jc w:val="both"/>
              <w:rPr>
                <w:sz w:val="24"/>
                <w:szCs w:val="24"/>
              </w:rPr>
            </w:pPr>
            <w:r w:rsidRPr="00DC53F6">
              <w:rPr>
                <w:sz w:val="24"/>
                <w:szCs w:val="24"/>
              </w:rPr>
              <w:t>Breusch-Pagan</w:t>
            </w:r>
          </w:p>
        </w:tc>
        <w:tc>
          <w:tcPr>
            <w:tcW w:w="1150" w:type="dxa"/>
            <w:vAlign w:val="bottom"/>
          </w:tcPr>
          <w:p w14:paraId="665DD401" w14:textId="77777777" w:rsidR="00182BC9" w:rsidRPr="00182BC9" w:rsidRDefault="00BC2F61" w:rsidP="00182BC9">
            <w:pPr>
              <w:spacing w:line="360" w:lineRule="auto"/>
              <w:jc w:val="center"/>
              <w:rPr>
                <w:sz w:val="24"/>
                <w:szCs w:val="24"/>
              </w:rPr>
            </w:pPr>
            <w:r w:rsidRPr="00DC53F6">
              <w:rPr>
                <w:sz w:val="24"/>
                <w:szCs w:val="24"/>
              </w:rPr>
              <w:t> 19.86552</w:t>
            </w:r>
          </w:p>
        </w:tc>
        <w:tc>
          <w:tcPr>
            <w:tcW w:w="1150" w:type="dxa"/>
            <w:vAlign w:val="bottom"/>
          </w:tcPr>
          <w:p w14:paraId="389B0EEB" w14:textId="77777777" w:rsidR="00182BC9" w:rsidRPr="00182BC9" w:rsidRDefault="00BC2F61" w:rsidP="00182BC9">
            <w:pPr>
              <w:spacing w:line="360" w:lineRule="auto"/>
              <w:jc w:val="center"/>
              <w:rPr>
                <w:sz w:val="24"/>
                <w:szCs w:val="24"/>
              </w:rPr>
            </w:pPr>
            <w:r w:rsidRPr="00DC53F6">
              <w:rPr>
                <w:sz w:val="24"/>
                <w:szCs w:val="24"/>
              </w:rPr>
              <w:t> 0.292048</w:t>
            </w:r>
          </w:p>
        </w:tc>
        <w:tc>
          <w:tcPr>
            <w:tcW w:w="1109" w:type="dxa"/>
            <w:vAlign w:val="bottom"/>
          </w:tcPr>
          <w:p w14:paraId="2F981E12" w14:textId="77777777" w:rsidR="00182BC9" w:rsidRPr="00182BC9" w:rsidRDefault="00BC2F61" w:rsidP="00182BC9">
            <w:pPr>
              <w:spacing w:line="360" w:lineRule="auto"/>
              <w:jc w:val="center"/>
              <w:rPr>
                <w:sz w:val="24"/>
                <w:szCs w:val="24"/>
              </w:rPr>
            </w:pPr>
            <w:r w:rsidRPr="00DC53F6">
              <w:rPr>
                <w:sz w:val="24"/>
                <w:szCs w:val="24"/>
              </w:rPr>
              <w:t> 20.15757</w:t>
            </w:r>
          </w:p>
        </w:tc>
      </w:tr>
      <w:tr w:rsidR="000B5092" w14:paraId="340179E1" w14:textId="77777777" w:rsidTr="00182BC9">
        <w:trPr>
          <w:trHeight w:val="220"/>
          <w:jc w:val="center"/>
        </w:trPr>
        <w:tc>
          <w:tcPr>
            <w:tcW w:w="2970" w:type="dxa"/>
            <w:vAlign w:val="bottom"/>
          </w:tcPr>
          <w:p w14:paraId="4AF9BD9C" w14:textId="77777777" w:rsidR="00182BC9" w:rsidRPr="00DC53F6" w:rsidRDefault="00182BC9" w:rsidP="00182BC9">
            <w:pPr>
              <w:spacing w:line="360" w:lineRule="auto"/>
              <w:jc w:val="both"/>
              <w:rPr>
                <w:sz w:val="24"/>
                <w:szCs w:val="24"/>
              </w:rPr>
            </w:pPr>
          </w:p>
        </w:tc>
        <w:tc>
          <w:tcPr>
            <w:tcW w:w="1150" w:type="dxa"/>
            <w:vAlign w:val="bottom"/>
          </w:tcPr>
          <w:p w14:paraId="69EBF6FD" w14:textId="77777777" w:rsidR="00182BC9" w:rsidRPr="00DC53F6" w:rsidRDefault="00BC2F61" w:rsidP="00182BC9">
            <w:pPr>
              <w:spacing w:line="360" w:lineRule="auto"/>
              <w:jc w:val="center"/>
              <w:rPr>
                <w:sz w:val="24"/>
                <w:szCs w:val="24"/>
              </w:rPr>
            </w:pPr>
            <w:r w:rsidRPr="00DC53F6">
              <w:rPr>
                <w:sz w:val="24"/>
                <w:szCs w:val="24"/>
              </w:rPr>
              <w:t>(0.0000)</w:t>
            </w:r>
          </w:p>
        </w:tc>
        <w:tc>
          <w:tcPr>
            <w:tcW w:w="1150" w:type="dxa"/>
            <w:vAlign w:val="bottom"/>
          </w:tcPr>
          <w:p w14:paraId="1C6F48A4" w14:textId="77777777" w:rsidR="00182BC9" w:rsidRPr="00DC53F6" w:rsidRDefault="00BC2F61" w:rsidP="00182BC9">
            <w:pPr>
              <w:spacing w:line="360" w:lineRule="auto"/>
              <w:jc w:val="center"/>
              <w:rPr>
                <w:sz w:val="24"/>
                <w:szCs w:val="24"/>
              </w:rPr>
            </w:pPr>
            <w:r w:rsidRPr="00DC53F6">
              <w:rPr>
                <w:sz w:val="24"/>
                <w:szCs w:val="24"/>
              </w:rPr>
              <w:t>(0.5889)</w:t>
            </w:r>
          </w:p>
        </w:tc>
        <w:tc>
          <w:tcPr>
            <w:tcW w:w="1109" w:type="dxa"/>
            <w:vAlign w:val="bottom"/>
          </w:tcPr>
          <w:p w14:paraId="7442714D" w14:textId="77777777" w:rsidR="00182BC9" w:rsidRPr="00DC53F6" w:rsidRDefault="00BC2F61" w:rsidP="00182BC9">
            <w:pPr>
              <w:spacing w:line="360" w:lineRule="auto"/>
              <w:jc w:val="center"/>
              <w:rPr>
                <w:sz w:val="24"/>
                <w:szCs w:val="24"/>
              </w:rPr>
            </w:pPr>
            <w:r w:rsidRPr="00DC53F6">
              <w:rPr>
                <w:sz w:val="24"/>
                <w:szCs w:val="24"/>
              </w:rPr>
              <w:t>(0.0000)</w:t>
            </w:r>
          </w:p>
        </w:tc>
      </w:tr>
    </w:tbl>
    <w:p w14:paraId="37AD7D96" w14:textId="77777777" w:rsidR="00182BC9" w:rsidRPr="00182BC9" w:rsidRDefault="00182BC9" w:rsidP="00182BC9">
      <w:pPr>
        <w:ind w:firstLine="567"/>
        <w:jc w:val="center"/>
        <w:rPr>
          <w:sz w:val="24"/>
          <w:szCs w:val="24"/>
        </w:rPr>
      </w:pPr>
    </w:p>
    <w:p w14:paraId="15B7BCF6" w14:textId="77777777" w:rsidR="008D2463" w:rsidRDefault="00BC2F61" w:rsidP="00182BC9">
      <w:pPr>
        <w:ind w:firstLine="567"/>
        <w:jc w:val="both"/>
        <w:rPr>
          <w:i/>
          <w:iCs/>
          <w:sz w:val="24"/>
          <w:szCs w:val="24"/>
        </w:rPr>
      </w:pPr>
      <w:r w:rsidRPr="007E5A51">
        <w:rPr>
          <w:sz w:val="24"/>
          <w:szCs w:val="24"/>
        </w:rPr>
        <w:t>Based on the Lagrange Multiplier Test above, it can be seen from the significant level value of the Breusch-Pagan Cross section is 0.0000 &lt; 0.05, which can be concluded that the model used is the Random Effect Model</w:t>
      </w:r>
      <w:r w:rsidR="00182BC9">
        <w:rPr>
          <w:i/>
          <w:iCs/>
          <w:sz w:val="24"/>
          <w:szCs w:val="24"/>
        </w:rPr>
        <w:t>.</w:t>
      </w:r>
    </w:p>
    <w:p w14:paraId="44D8D833" w14:textId="77777777" w:rsidR="00182BC9" w:rsidRDefault="00BC2F61" w:rsidP="007E5A51">
      <w:pPr>
        <w:ind w:firstLine="567"/>
        <w:jc w:val="both"/>
        <w:rPr>
          <w:sz w:val="24"/>
          <w:szCs w:val="24"/>
          <w:lang w:val="en-ID"/>
        </w:rPr>
      </w:pPr>
      <w:r w:rsidRPr="007E5A51">
        <w:rPr>
          <w:sz w:val="24"/>
          <w:szCs w:val="24"/>
          <w:lang w:val="en-ID"/>
        </w:rPr>
        <w:t>Based on the results of the Chow test, Hausman test, and LM test, the selected model is the Random Effect Model (REM). Therefore, REM is used to analyze the effect of Size, DPK, and Dividend Policy on ROA. The results of the panel data regression using the REM model are displayed as follows</w:t>
      </w:r>
      <w:r w:rsidRPr="00182BC9">
        <w:rPr>
          <w:sz w:val="24"/>
          <w:szCs w:val="24"/>
          <w:lang w:val="en-ID"/>
        </w:rPr>
        <w:t>:</w:t>
      </w:r>
    </w:p>
    <w:p w14:paraId="4DEAE429" w14:textId="77777777" w:rsidR="00182BC9" w:rsidRDefault="00182BC9" w:rsidP="00182BC9">
      <w:pPr>
        <w:jc w:val="center"/>
        <w:rPr>
          <w:sz w:val="24"/>
          <w:szCs w:val="24"/>
          <w:lang w:val="en-ID"/>
        </w:rPr>
      </w:pPr>
    </w:p>
    <w:p w14:paraId="473FC53F" w14:textId="77777777" w:rsidR="00182BC9" w:rsidRDefault="00BC2F61" w:rsidP="00182BC9">
      <w:pPr>
        <w:jc w:val="center"/>
        <w:rPr>
          <w:sz w:val="24"/>
          <w:szCs w:val="24"/>
          <w:lang w:val="en-ID"/>
        </w:rPr>
      </w:pPr>
      <w:r>
        <w:rPr>
          <w:b/>
          <w:bCs/>
          <w:sz w:val="24"/>
          <w:szCs w:val="24"/>
          <w:lang w:val="en-ID"/>
        </w:rPr>
        <w:lastRenderedPageBreak/>
        <w:t>Tab</w:t>
      </w:r>
      <w:r w:rsidR="007E5A51">
        <w:rPr>
          <w:b/>
          <w:bCs/>
          <w:sz w:val="24"/>
          <w:szCs w:val="24"/>
          <w:lang w:val="en-ID"/>
        </w:rPr>
        <w:t>le</w:t>
      </w:r>
      <w:r>
        <w:rPr>
          <w:b/>
          <w:bCs/>
          <w:sz w:val="24"/>
          <w:szCs w:val="24"/>
          <w:lang w:val="en-ID"/>
        </w:rPr>
        <w:t xml:space="preserve"> 8. </w:t>
      </w:r>
      <w:r w:rsidR="007E5A51" w:rsidRPr="007E5A51">
        <w:rPr>
          <w:sz w:val="24"/>
          <w:szCs w:val="24"/>
          <w:lang w:val="en-ID"/>
        </w:rPr>
        <w:t>REM Selected Regression Models</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653"/>
        <w:gridCol w:w="1613"/>
        <w:gridCol w:w="1574"/>
        <w:gridCol w:w="1574"/>
        <w:gridCol w:w="1523"/>
      </w:tblGrid>
      <w:tr w:rsidR="000B5092" w14:paraId="40A89101" w14:textId="77777777" w:rsidTr="00182BC9">
        <w:tc>
          <w:tcPr>
            <w:tcW w:w="1653" w:type="dxa"/>
          </w:tcPr>
          <w:p w14:paraId="747EDF3F" w14:textId="77777777" w:rsidR="00182BC9" w:rsidRPr="00182BC9" w:rsidRDefault="00BC2F61" w:rsidP="00A34EE9">
            <w:pPr>
              <w:jc w:val="both"/>
              <w:rPr>
                <w:sz w:val="24"/>
                <w:szCs w:val="24"/>
              </w:rPr>
            </w:pPr>
            <w:r w:rsidRPr="00182BC9">
              <w:rPr>
                <w:sz w:val="24"/>
                <w:szCs w:val="24"/>
              </w:rPr>
              <w:t>Variable</w:t>
            </w:r>
          </w:p>
        </w:tc>
        <w:tc>
          <w:tcPr>
            <w:tcW w:w="1613" w:type="dxa"/>
          </w:tcPr>
          <w:p w14:paraId="42475A2A" w14:textId="77777777" w:rsidR="00182BC9" w:rsidRPr="00182BC9" w:rsidRDefault="00BC2F61" w:rsidP="00A34EE9">
            <w:pPr>
              <w:jc w:val="center"/>
              <w:rPr>
                <w:sz w:val="24"/>
                <w:szCs w:val="24"/>
              </w:rPr>
            </w:pPr>
            <w:r w:rsidRPr="00182BC9">
              <w:rPr>
                <w:sz w:val="24"/>
                <w:szCs w:val="24"/>
              </w:rPr>
              <w:t>Coefficient</w:t>
            </w:r>
          </w:p>
        </w:tc>
        <w:tc>
          <w:tcPr>
            <w:tcW w:w="1574" w:type="dxa"/>
          </w:tcPr>
          <w:p w14:paraId="465AD4D9" w14:textId="77777777" w:rsidR="00182BC9" w:rsidRPr="00182BC9" w:rsidRDefault="00BC2F61" w:rsidP="00A34EE9">
            <w:pPr>
              <w:jc w:val="center"/>
              <w:rPr>
                <w:sz w:val="24"/>
                <w:szCs w:val="24"/>
              </w:rPr>
            </w:pPr>
            <w:r w:rsidRPr="00182BC9">
              <w:rPr>
                <w:sz w:val="24"/>
                <w:szCs w:val="24"/>
              </w:rPr>
              <w:t>Std. Error</w:t>
            </w:r>
          </w:p>
        </w:tc>
        <w:tc>
          <w:tcPr>
            <w:tcW w:w="1574" w:type="dxa"/>
          </w:tcPr>
          <w:p w14:paraId="25A46FA3" w14:textId="77777777" w:rsidR="00182BC9" w:rsidRPr="00182BC9" w:rsidRDefault="00BC2F61" w:rsidP="00A34EE9">
            <w:pPr>
              <w:jc w:val="center"/>
              <w:rPr>
                <w:sz w:val="24"/>
                <w:szCs w:val="24"/>
              </w:rPr>
            </w:pPr>
            <w:r w:rsidRPr="00182BC9">
              <w:rPr>
                <w:sz w:val="24"/>
                <w:szCs w:val="24"/>
              </w:rPr>
              <w:t>t-statistic</w:t>
            </w:r>
          </w:p>
        </w:tc>
        <w:tc>
          <w:tcPr>
            <w:tcW w:w="1523" w:type="dxa"/>
          </w:tcPr>
          <w:p w14:paraId="305B7BC9" w14:textId="77777777" w:rsidR="00182BC9" w:rsidRPr="00182BC9" w:rsidRDefault="00BC2F61" w:rsidP="00A34EE9">
            <w:pPr>
              <w:jc w:val="center"/>
              <w:rPr>
                <w:sz w:val="24"/>
                <w:szCs w:val="24"/>
              </w:rPr>
            </w:pPr>
            <w:r w:rsidRPr="00182BC9">
              <w:rPr>
                <w:sz w:val="24"/>
                <w:szCs w:val="24"/>
              </w:rPr>
              <w:t>Prob.</w:t>
            </w:r>
          </w:p>
        </w:tc>
      </w:tr>
      <w:tr w:rsidR="000B5092" w14:paraId="66413D9E" w14:textId="77777777" w:rsidTr="00182BC9">
        <w:tc>
          <w:tcPr>
            <w:tcW w:w="1653" w:type="dxa"/>
          </w:tcPr>
          <w:p w14:paraId="1DCFBC0A" w14:textId="77777777" w:rsidR="00182BC9" w:rsidRPr="00182BC9" w:rsidRDefault="00BC2F61" w:rsidP="00182BC9">
            <w:pPr>
              <w:jc w:val="both"/>
              <w:rPr>
                <w:sz w:val="24"/>
                <w:szCs w:val="24"/>
              </w:rPr>
            </w:pPr>
            <w:r w:rsidRPr="00182BC9">
              <w:rPr>
                <w:sz w:val="24"/>
                <w:szCs w:val="24"/>
              </w:rPr>
              <w:t>C</w:t>
            </w:r>
          </w:p>
        </w:tc>
        <w:tc>
          <w:tcPr>
            <w:tcW w:w="1613" w:type="dxa"/>
            <w:vAlign w:val="bottom"/>
          </w:tcPr>
          <w:p w14:paraId="456D9BF5" w14:textId="77777777" w:rsidR="00182BC9" w:rsidRPr="00182BC9" w:rsidRDefault="00BC2F61" w:rsidP="00182BC9">
            <w:pPr>
              <w:jc w:val="center"/>
              <w:rPr>
                <w:sz w:val="24"/>
                <w:szCs w:val="24"/>
              </w:rPr>
            </w:pPr>
            <w:r w:rsidRPr="00DC53F6">
              <w:rPr>
                <w:sz w:val="24"/>
                <w:szCs w:val="24"/>
              </w:rPr>
              <w:t>1.168170</w:t>
            </w:r>
          </w:p>
        </w:tc>
        <w:tc>
          <w:tcPr>
            <w:tcW w:w="1574" w:type="dxa"/>
            <w:vAlign w:val="bottom"/>
          </w:tcPr>
          <w:p w14:paraId="1904D50E" w14:textId="77777777" w:rsidR="00182BC9" w:rsidRPr="00182BC9" w:rsidRDefault="00BC2F61" w:rsidP="00182BC9">
            <w:pPr>
              <w:jc w:val="center"/>
              <w:rPr>
                <w:sz w:val="24"/>
                <w:szCs w:val="24"/>
              </w:rPr>
            </w:pPr>
            <w:r w:rsidRPr="00DC53F6">
              <w:rPr>
                <w:sz w:val="24"/>
                <w:szCs w:val="24"/>
              </w:rPr>
              <w:t>0.203164</w:t>
            </w:r>
          </w:p>
        </w:tc>
        <w:tc>
          <w:tcPr>
            <w:tcW w:w="1574" w:type="dxa"/>
            <w:vAlign w:val="bottom"/>
          </w:tcPr>
          <w:p w14:paraId="696E45C3" w14:textId="77777777" w:rsidR="00182BC9" w:rsidRPr="00182BC9" w:rsidRDefault="00BC2F61" w:rsidP="00182BC9">
            <w:pPr>
              <w:jc w:val="center"/>
              <w:rPr>
                <w:sz w:val="24"/>
                <w:szCs w:val="24"/>
              </w:rPr>
            </w:pPr>
            <w:r w:rsidRPr="00DC53F6">
              <w:rPr>
                <w:sz w:val="24"/>
                <w:szCs w:val="24"/>
              </w:rPr>
              <w:t>5.749902</w:t>
            </w:r>
          </w:p>
        </w:tc>
        <w:tc>
          <w:tcPr>
            <w:tcW w:w="1523" w:type="dxa"/>
            <w:vAlign w:val="bottom"/>
          </w:tcPr>
          <w:p w14:paraId="46773536" w14:textId="77777777" w:rsidR="00182BC9" w:rsidRPr="00182BC9" w:rsidRDefault="00BC2F61" w:rsidP="00182BC9">
            <w:pPr>
              <w:jc w:val="center"/>
              <w:rPr>
                <w:sz w:val="24"/>
                <w:szCs w:val="24"/>
              </w:rPr>
            </w:pPr>
            <w:r w:rsidRPr="00DC53F6">
              <w:rPr>
                <w:sz w:val="24"/>
                <w:szCs w:val="24"/>
              </w:rPr>
              <w:t>0.0000</w:t>
            </w:r>
          </w:p>
        </w:tc>
      </w:tr>
      <w:tr w:rsidR="000B5092" w14:paraId="3DA57D17" w14:textId="77777777" w:rsidTr="00182BC9">
        <w:tc>
          <w:tcPr>
            <w:tcW w:w="1653" w:type="dxa"/>
          </w:tcPr>
          <w:p w14:paraId="6FE5D0E7" w14:textId="77777777" w:rsidR="00182BC9" w:rsidRPr="00182BC9" w:rsidRDefault="00BC2F61" w:rsidP="00182BC9">
            <w:pPr>
              <w:jc w:val="both"/>
              <w:rPr>
                <w:sz w:val="24"/>
                <w:szCs w:val="24"/>
              </w:rPr>
            </w:pPr>
            <w:r>
              <w:rPr>
                <w:sz w:val="24"/>
                <w:szCs w:val="24"/>
              </w:rPr>
              <w:t>Size (X</w:t>
            </w:r>
            <w:r>
              <w:rPr>
                <w:sz w:val="24"/>
                <w:szCs w:val="24"/>
                <w:vertAlign w:val="subscript"/>
              </w:rPr>
              <w:t>1</w:t>
            </w:r>
            <w:r>
              <w:rPr>
                <w:sz w:val="24"/>
                <w:szCs w:val="24"/>
              </w:rPr>
              <w:t>)</w:t>
            </w:r>
          </w:p>
        </w:tc>
        <w:tc>
          <w:tcPr>
            <w:tcW w:w="1613" w:type="dxa"/>
            <w:vAlign w:val="bottom"/>
          </w:tcPr>
          <w:p w14:paraId="5E8C2D72" w14:textId="77777777" w:rsidR="00182BC9" w:rsidRPr="00182BC9" w:rsidRDefault="00BC2F61" w:rsidP="00182BC9">
            <w:pPr>
              <w:jc w:val="center"/>
              <w:rPr>
                <w:sz w:val="24"/>
                <w:szCs w:val="24"/>
              </w:rPr>
            </w:pPr>
            <w:r w:rsidRPr="00DC53F6">
              <w:rPr>
                <w:sz w:val="24"/>
                <w:szCs w:val="24"/>
              </w:rPr>
              <w:t>0.013523</w:t>
            </w:r>
          </w:p>
        </w:tc>
        <w:tc>
          <w:tcPr>
            <w:tcW w:w="1574" w:type="dxa"/>
            <w:vAlign w:val="bottom"/>
          </w:tcPr>
          <w:p w14:paraId="42B84E3F" w14:textId="77777777" w:rsidR="00182BC9" w:rsidRPr="00182BC9" w:rsidRDefault="00BC2F61" w:rsidP="00182BC9">
            <w:pPr>
              <w:jc w:val="center"/>
              <w:rPr>
                <w:sz w:val="24"/>
                <w:szCs w:val="24"/>
              </w:rPr>
            </w:pPr>
            <w:r w:rsidRPr="00DC53F6">
              <w:rPr>
                <w:sz w:val="24"/>
                <w:szCs w:val="24"/>
              </w:rPr>
              <w:t>0.003044</w:t>
            </w:r>
          </w:p>
        </w:tc>
        <w:tc>
          <w:tcPr>
            <w:tcW w:w="1574" w:type="dxa"/>
            <w:vAlign w:val="bottom"/>
          </w:tcPr>
          <w:p w14:paraId="339EACF1" w14:textId="77777777" w:rsidR="00182BC9" w:rsidRPr="00182BC9" w:rsidRDefault="00BC2F61" w:rsidP="00182BC9">
            <w:pPr>
              <w:jc w:val="center"/>
              <w:rPr>
                <w:sz w:val="24"/>
                <w:szCs w:val="24"/>
              </w:rPr>
            </w:pPr>
            <w:bookmarkStart w:id="3" w:name="_Hlk184185569"/>
            <w:r w:rsidRPr="00DC53F6">
              <w:rPr>
                <w:sz w:val="24"/>
                <w:szCs w:val="24"/>
              </w:rPr>
              <w:t>4.442533</w:t>
            </w:r>
            <w:bookmarkEnd w:id="3"/>
          </w:p>
        </w:tc>
        <w:tc>
          <w:tcPr>
            <w:tcW w:w="1523" w:type="dxa"/>
            <w:vAlign w:val="bottom"/>
          </w:tcPr>
          <w:p w14:paraId="695D5C29" w14:textId="77777777" w:rsidR="00182BC9" w:rsidRPr="00182BC9" w:rsidRDefault="00BC2F61" w:rsidP="00182BC9">
            <w:pPr>
              <w:jc w:val="center"/>
              <w:rPr>
                <w:sz w:val="24"/>
                <w:szCs w:val="24"/>
              </w:rPr>
            </w:pPr>
            <w:r w:rsidRPr="00DC53F6">
              <w:rPr>
                <w:sz w:val="24"/>
                <w:szCs w:val="24"/>
              </w:rPr>
              <w:t>0.0000</w:t>
            </w:r>
          </w:p>
        </w:tc>
      </w:tr>
      <w:tr w:rsidR="000B5092" w14:paraId="263B1A73" w14:textId="77777777" w:rsidTr="00182BC9">
        <w:tc>
          <w:tcPr>
            <w:tcW w:w="1653" w:type="dxa"/>
          </w:tcPr>
          <w:p w14:paraId="10BCC049" w14:textId="77777777" w:rsidR="00182BC9" w:rsidRPr="00182BC9" w:rsidRDefault="00BC2F61" w:rsidP="00182BC9">
            <w:pPr>
              <w:jc w:val="both"/>
              <w:rPr>
                <w:sz w:val="24"/>
                <w:szCs w:val="24"/>
              </w:rPr>
            </w:pPr>
            <w:r>
              <w:rPr>
                <w:sz w:val="24"/>
                <w:szCs w:val="24"/>
              </w:rPr>
              <w:t>DPK (X</w:t>
            </w:r>
            <w:r>
              <w:rPr>
                <w:sz w:val="24"/>
                <w:szCs w:val="24"/>
                <w:vertAlign w:val="subscript"/>
              </w:rPr>
              <w:t>2</w:t>
            </w:r>
            <w:r>
              <w:rPr>
                <w:sz w:val="24"/>
                <w:szCs w:val="24"/>
              </w:rPr>
              <w:t>)</w:t>
            </w:r>
          </w:p>
        </w:tc>
        <w:tc>
          <w:tcPr>
            <w:tcW w:w="1613" w:type="dxa"/>
            <w:vAlign w:val="bottom"/>
          </w:tcPr>
          <w:p w14:paraId="34297DB2" w14:textId="77777777" w:rsidR="00182BC9" w:rsidRPr="00182BC9" w:rsidRDefault="00BC2F61" w:rsidP="00182BC9">
            <w:pPr>
              <w:jc w:val="center"/>
              <w:rPr>
                <w:sz w:val="24"/>
                <w:szCs w:val="24"/>
              </w:rPr>
            </w:pPr>
            <w:r w:rsidRPr="00DC53F6">
              <w:rPr>
                <w:sz w:val="24"/>
                <w:szCs w:val="24"/>
              </w:rPr>
              <w:t>-0.011690</w:t>
            </w:r>
          </w:p>
        </w:tc>
        <w:tc>
          <w:tcPr>
            <w:tcW w:w="1574" w:type="dxa"/>
            <w:vAlign w:val="bottom"/>
          </w:tcPr>
          <w:p w14:paraId="36C7F2F3" w14:textId="77777777" w:rsidR="00182BC9" w:rsidRPr="00182BC9" w:rsidRDefault="00BC2F61" w:rsidP="00182BC9">
            <w:pPr>
              <w:jc w:val="center"/>
              <w:rPr>
                <w:sz w:val="24"/>
                <w:szCs w:val="24"/>
              </w:rPr>
            </w:pPr>
            <w:r w:rsidRPr="00DC53F6">
              <w:rPr>
                <w:sz w:val="24"/>
                <w:szCs w:val="24"/>
              </w:rPr>
              <w:t>0.005520</w:t>
            </w:r>
          </w:p>
        </w:tc>
        <w:tc>
          <w:tcPr>
            <w:tcW w:w="1574" w:type="dxa"/>
            <w:vAlign w:val="bottom"/>
          </w:tcPr>
          <w:p w14:paraId="2FC03396" w14:textId="77777777" w:rsidR="00182BC9" w:rsidRPr="00182BC9" w:rsidRDefault="00BC2F61" w:rsidP="00182BC9">
            <w:pPr>
              <w:jc w:val="center"/>
              <w:rPr>
                <w:sz w:val="24"/>
                <w:szCs w:val="24"/>
              </w:rPr>
            </w:pPr>
            <w:r w:rsidRPr="00DC53F6">
              <w:rPr>
                <w:sz w:val="24"/>
                <w:szCs w:val="24"/>
              </w:rPr>
              <w:t>-2.117895</w:t>
            </w:r>
          </w:p>
        </w:tc>
        <w:tc>
          <w:tcPr>
            <w:tcW w:w="1523" w:type="dxa"/>
            <w:vAlign w:val="bottom"/>
          </w:tcPr>
          <w:p w14:paraId="7B87DD20" w14:textId="77777777" w:rsidR="00182BC9" w:rsidRPr="00182BC9" w:rsidRDefault="00BC2F61" w:rsidP="00182BC9">
            <w:pPr>
              <w:jc w:val="center"/>
              <w:rPr>
                <w:sz w:val="24"/>
                <w:szCs w:val="24"/>
              </w:rPr>
            </w:pPr>
            <w:r w:rsidRPr="00DC53F6">
              <w:rPr>
                <w:sz w:val="24"/>
                <w:szCs w:val="24"/>
              </w:rPr>
              <w:t>0.0377</w:t>
            </w:r>
          </w:p>
        </w:tc>
      </w:tr>
      <w:tr w:rsidR="000B5092" w14:paraId="38CF8C3D" w14:textId="77777777" w:rsidTr="00182BC9">
        <w:tc>
          <w:tcPr>
            <w:tcW w:w="1653" w:type="dxa"/>
          </w:tcPr>
          <w:p w14:paraId="44727123" w14:textId="77777777" w:rsidR="00182BC9" w:rsidRPr="00182BC9" w:rsidRDefault="00BC2F61" w:rsidP="00182BC9">
            <w:pPr>
              <w:jc w:val="both"/>
              <w:rPr>
                <w:sz w:val="24"/>
                <w:szCs w:val="24"/>
              </w:rPr>
            </w:pPr>
            <w:r>
              <w:rPr>
                <w:sz w:val="24"/>
                <w:szCs w:val="24"/>
              </w:rPr>
              <w:t>KD (X</w:t>
            </w:r>
            <w:r>
              <w:rPr>
                <w:sz w:val="24"/>
                <w:szCs w:val="24"/>
                <w:vertAlign w:val="subscript"/>
              </w:rPr>
              <w:t>3</w:t>
            </w:r>
            <w:r>
              <w:rPr>
                <w:sz w:val="24"/>
                <w:szCs w:val="24"/>
              </w:rPr>
              <w:t>)</w:t>
            </w:r>
          </w:p>
        </w:tc>
        <w:tc>
          <w:tcPr>
            <w:tcW w:w="1613" w:type="dxa"/>
            <w:vAlign w:val="bottom"/>
          </w:tcPr>
          <w:p w14:paraId="756B30DD" w14:textId="77777777" w:rsidR="00182BC9" w:rsidRPr="00182BC9" w:rsidRDefault="00BC2F61" w:rsidP="00182BC9">
            <w:pPr>
              <w:jc w:val="center"/>
              <w:rPr>
                <w:sz w:val="24"/>
                <w:szCs w:val="24"/>
              </w:rPr>
            </w:pPr>
            <w:r w:rsidRPr="00DC53F6">
              <w:rPr>
                <w:sz w:val="24"/>
                <w:szCs w:val="24"/>
              </w:rPr>
              <w:t>-0.001625</w:t>
            </w:r>
          </w:p>
        </w:tc>
        <w:tc>
          <w:tcPr>
            <w:tcW w:w="1574" w:type="dxa"/>
            <w:vAlign w:val="bottom"/>
          </w:tcPr>
          <w:p w14:paraId="2C3E96BB" w14:textId="77777777" w:rsidR="00182BC9" w:rsidRPr="00182BC9" w:rsidRDefault="00BC2F61" w:rsidP="00182BC9">
            <w:pPr>
              <w:jc w:val="center"/>
              <w:rPr>
                <w:sz w:val="24"/>
                <w:szCs w:val="24"/>
              </w:rPr>
            </w:pPr>
            <w:r w:rsidRPr="00DC53F6">
              <w:rPr>
                <w:sz w:val="24"/>
                <w:szCs w:val="24"/>
              </w:rPr>
              <w:t>0.003620</w:t>
            </w:r>
          </w:p>
        </w:tc>
        <w:tc>
          <w:tcPr>
            <w:tcW w:w="1574" w:type="dxa"/>
            <w:vAlign w:val="bottom"/>
          </w:tcPr>
          <w:p w14:paraId="782954EE" w14:textId="77777777" w:rsidR="00182BC9" w:rsidRPr="00182BC9" w:rsidRDefault="00BC2F61" w:rsidP="00182BC9">
            <w:pPr>
              <w:jc w:val="center"/>
              <w:rPr>
                <w:sz w:val="24"/>
                <w:szCs w:val="24"/>
              </w:rPr>
            </w:pPr>
            <w:r w:rsidRPr="00DC53F6">
              <w:rPr>
                <w:sz w:val="24"/>
                <w:szCs w:val="24"/>
              </w:rPr>
              <w:t>-0.448902</w:t>
            </w:r>
          </w:p>
        </w:tc>
        <w:tc>
          <w:tcPr>
            <w:tcW w:w="1523" w:type="dxa"/>
            <w:vAlign w:val="bottom"/>
          </w:tcPr>
          <w:p w14:paraId="64AC15DC" w14:textId="77777777" w:rsidR="00182BC9" w:rsidRPr="00182BC9" w:rsidRDefault="00BC2F61" w:rsidP="00182BC9">
            <w:pPr>
              <w:jc w:val="center"/>
              <w:rPr>
                <w:sz w:val="24"/>
                <w:szCs w:val="24"/>
              </w:rPr>
            </w:pPr>
            <w:r w:rsidRPr="00DC53F6">
              <w:rPr>
                <w:sz w:val="24"/>
                <w:szCs w:val="24"/>
              </w:rPr>
              <w:t>0.6549</w:t>
            </w:r>
          </w:p>
        </w:tc>
      </w:tr>
      <w:tr w:rsidR="000B5092" w14:paraId="1FF6565A" w14:textId="77777777" w:rsidTr="00182BC9">
        <w:tc>
          <w:tcPr>
            <w:tcW w:w="3266" w:type="dxa"/>
            <w:gridSpan w:val="2"/>
          </w:tcPr>
          <w:p w14:paraId="0D43C88B" w14:textId="77777777" w:rsidR="00182BC9" w:rsidRPr="00182BC9" w:rsidRDefault="00BC2F61" w:rsidP="00A34EE9">
            <w:pPr>
              <w:rPr>
                <w:color w:val="000000"/>
                <w:sz w:val="24"/>
                <w:szCs w:val="24"/>
              </w:rPr>
            </w:pPr>
            <w:r w:rsidRPr="00182BC9">
              <w:rPr>
                <w:sz w:val="24"/>
                <w:szCs w:val="24"/>
              </w:rPr>
              <w:t xml:space="preserve">R-square                     </w:t>
            </w:r>
            <w:r w:rsidR="008A445B">
              <w:rPr>
                <w:sz w:val="24"/>
                <w:szCs w:val="24"/>
              </w:rPr>
              <w:t xml:space="preserve"> </w:t>
            </w:r>
            <w:r w:rsidRPr="00182BC9">
              <w:rPr>
                <w:sz w:val="24"/>
                <w:szCs w:val="24"/>
              </w:rPr>
              <w:t>0.</w:t>
            </w:r>
            <w:r w:rsidR="008A445B">
              <w:rPr>
                <w:sz w:val="24"/>
                <w:szCs w:val="24"/>
              </w:rPr>
              <w:t>2358</w:t>
            </w:r>
          </w:p>
        </w:tc>
        <w:tc>
          <w:tcPr>
            <w:tcW w:w="4671" w:type="dxa"/>
            <w:gridSpan w:val="3"/>
            <w:vAlign w:val="bottom"/>
          </w:tcPr>
          <w:p w14:paraId="7C7141CD" w14:textId="77777777" w:rsidR="00182BC9" w:rsidRPr="00182BC9" w:rsidRDefault="00BC2F61" w:rsidP="00A34EE9">
            <w:pPr>
              <w:rPr>
                <w:color w:val="000000"/>
                <w:sz w:val="24"/>
                <w:szCs w:val="24"/>
              </w:rPr>
            </w:pPr>
            <w:r w:rsidRPr="00182BC9">
              <w:rPr>
                <w:color w:val="000000"/>
                <w:sz w:val="24"/>
                <w:szCs w:val="24"/>
              </w:rPr>
              <w:t xml:space="preserve">F-statistic                                          </w:t>
            </w:r>
            <w:r w:rsidR="008A445B">
              <w:rPr>
                <w:color w:val="000000"/>
                <w:sz w:val="24"/>
                <w:szCs w:val="24"/>
              </w:rPr>
              <w:t>7.3011</w:t>
            </w:r>
          </w:p>
        </w:tc>
      </w:tr>
      <w:tr w:rsidR="000B5092" w14:paraId="4031E1CE" w14:textId="77777777" w:rsidTr="00182BC9">
        <w:tc>
          <w:tcPr>
            <w:tcW w:w="3266" w:type="dxa"/>
            <w:gridSpan w:val="2"/>
          </w:tcPr>
          <w:p w14:paraId="485B7E5B" w14:textId="77777777" w:rsidR="00182BC9" w:rsidRPr="00182BC9" w:rsidRDefault="00BC2F61" w:rsidP="00A34EE9">
            <w:pPr>
              <w:rPr>
                <w:color w:val="000000"/>
                <w:sz w:val="24"/>
                <w:szCs w:val="24"/>
              </w:rPr>
            </w:pPr>
            <w:r w:rsidRPr="00182BC9">
              <w:rPr>
                <w:sz w:val="24"/>
                <w:szCs w:val="24"/>
              </w:rPr>
              <w:t xml:space="preserve">Adjusted R-square     </w:t>
            </w:r>
            <w:r w:rsidR="008A445B">
              <w:rPr>
                <w:sz w:val="24"/>
                <w:szCs w:val="24"/>
              </w:rPr>
              <w:t xml:space="preserve"> </w:t>
            </w:r>
            <w:r w:rsidRPr="00182BC9">
              <w:rPr>
                <w:sz w:val="24"/>
                <w:szCs w:val="24"/>
              </w:rPr>
              <w:t>0.</w:t>
            </w:r>
            <w:r w:rsidR="008A445B">
              <w:rPr>
                <w:sz w:val="24"/>
                <w:szCs w:val="24"/>
              </w:rPr>
              <w:t>2035</w:t>
            </w:r>
          </w:p>
        </w:tc>
        <w:tc>
          <w:tcPr>
            <w:tcW w:w="4671" w:type="dxa"/>
            <w:gridSpan w:val="3"/>
            <w:vAlign w:val="bottom"/>
          </w:tcPr>
          <w:p w14:paraId="790B43B8" w14:textId="77777777" w:rsidR="00182BC9" w:rsidRPr="00182BC9" w:rsidRDefault="00BC2F61" w:rsidP="00A34EE9">
            <w:pPr>
              <w:rPr>
                <w:color w:val="000000"/>
                <w:sz w:val="24"/>
                <w:szCs w:val="24"/>
              </w:rPr>
            </w:pPr>
            <w:r w:rsidRPr="00182BC9">
              <w:rPr>
                <w:color w:val="000000"/>
                <w:sz w:val="24"/>
                <w:szCs w:val="24"/>
              </w:rPr>
              <w:t>Prob. (F-statistic)                              0.00</w:t>
            </w:r>
            <w:r w:rsidR="008A445B">
              <w:rPr>
                <w:color w:val="000000"/>
                <w:sz w:val="24"/>
                <w:szCs w:val="24"/>
              </w:rPr>
              <w:t>02</w:t>
            </w:r>
          </w:p>
        </w:tc>
      </w:tr>
    </w:tbl>
    <w:p w14:paraId="54B06E55" w14:textId="77777777" w:rsidR="00182BC9" w:rsidRPr="00182BC9" w:rsidRDefault="00182BC9" w:rsidP="00182BC9">
      <w:pPr>
        <w:jc w:val="center"/>
        <w:rPr>
          <w:sz w:val="24"/>
          <w:szCs w:val="24"/>
          <w:lang w:val="en-ID"/>
        </w:rPr>
      </w:pPr>
    </w:p>
    <w:p w14:paraId="0F858C32" w14:textId="77777777" w:rsidR="008A445B" w:rsidRDefault="00BC2F61" w:rsidP="008A445B">
      <w:pPr>
        <w:ind w:firstLine="567"/>
        <w:jc w:val="both"/>
        <w:rPr>
          <w:sz w:val="24"/>
          <w:szCs w:val="24"/>
          <w:lang w:val="en-ID"/>
        </w:rPr>
      </w:pPr>
      <w:r w:rsidRPr="007E5A51">
        <w:rPr>
          <w:sz w:val="24"/>
          <w:szCs w:val="24"/>
        </w:rPr>
        <w:t>Based on Table 8 above, the regression equation used in this research is as follows</w:t>
      </w:r>
      <w:r w:rsidRPr="008A445B">
        <w:rPr>
          <w:sz w:val="24"/>
          <w:szCs w:val="24"/>
          <w:lang w:val="en-ID"/>
        </w:rPr>
        <w:t>:</w:t>
      </w:r>
    </w:p>
    <w:p w14:paraId="1160216D" w14:textId="77777777" w:rsidR="008A445B" w:rsidRDefault="008A445B" w:rsidP="008A445B">
      <w:pPr>
        <w:jc w:val="both"/>
        <w:rPr>
          <w:sz w:val="24"/>
          <w:szCs w:val="24"/>
          <w:lang w:val="en-ID"/>
        </w:rPr>
      </w:pPr>
    </w:p>
    <w:p w14:paraId="2FEEFC1C" w14:textId="77777777" w:rsidR="008A445B" w:rsidRPr="008A445B" w:rsidRDefault="00BC2F61" w:rsidP="008A445B">
      <w:pPr>
        <w:jc w:val="both"/>
        <w:rPr>
          <w:sz w:val="24"/>
          <w:szCs w:val="24"/>
          <w:lang w:val="en-ID"/>
        </w:rPr>
      </w:pPr>
      <w:r>
        <w:rPr>
          <w:sz w:val="24"/>
          <w:szCs w:val="24"/>
          <w:lang w:val="en-ID"/>
        </w:rPr>
        <w:t xml:space="preserve">ROA = 1.1682 + 0.0135*SIZE – 0.0117*DPK – 0.0016*KD + </w:t>
      </w:r>
      <w:r w:rsidRPr="008A445B">
        <w:rPr>
          <w:i/>
          <w:iCs/>
          <w:sz w:val="24"/>
          <w:szCs w:val="24"/>
          <w:lang w:val="en-ID"/>
        </w:rPr>
        <w:t>e</w:t>
      </w:r>
    </w:p>
    <w:p w14:paraId="7E4A89C5" w14:textId="77777777" w:rsidR="00182BC9" w:rsidRPr="00182BC9" w:rsidRDefault="00182BC9" w:rsidP="00182BC9">
      <w:pPr>
        <w:ind w:firstLine="567"/>
        <w:jc w:val="both"/>
        <w:rPr>
          <w:sz w:val="24"/>
          <w:szCs w:val="24"/>
        </w:rPr>
      </w:pPr>
    </w:p>
    <w:p w14:paraId="0C945556" w14:textId="77777777" w:rsidR="008D2463" w:rsidRPr="00B73410" w:rsidRDefault="00BC2F61" w:rsidP="008D2463">
      <w:pPr>
        <w:jc w:val="both"/>
        <w:rPr>
          <w:b/>
          <w:bCs/>
          <w:sz w:val="24"/>
          <w:szCs w:val="24"/>
        </w:rPr>
      </w:pPr>
      <w:r w:rsidRPr="007E5A51">
        <w:rPr>
          <w:b/>
          <w:bCs/>
          <w:sz w:val="24"/>
          <w:szCs w:val="24"/>
        </w:rPr>
        <w:t>Classical Assumption Test</w:t>
      </w:r>
    </w:p>
    <w:p w14:paraId="319A8701" w14:textId="56A566CB" w:rsidR="008D2463" w:rsidRDefault="00BC2F61" w:rsidP="00B73410">
      <w:pPr>
        <w:ind w:firstLine="567"/>
        <w:jc w:val="both"/>
        <w:rPr>
          <w:sz w:val="24"/>
          <w:szCs w:val="24"/>
          <w:lang w:val="en-ID"/>
        </w:rPr>
      </w:pPr>
      <w:r w:rsidRPr="007E5A51">
        <w:rPr>
          <w:sz w:val="24"/>
          <w:szCs w:val="24"/>
        </w:rPr>
        <w:t>The classical assumption test is conducted to evaluate whether the regression model meets the criteria for multicollinearity and heteroscedasticity. A regression model is considered good if it meets several classical assumptions, which aim to produce unbiased estimates and reliable tests</w:t>
      </w:r>
      <w:r w:rsidR="00B73410" w:rsidRPr="00B73410">
        <w:rPr>
          <w:sz w:val="24"/>
          <w:szCs w:val="24"/>
          <w:lang w:val="en-ID"/>
        </w:rPr>
        <w:t xml:space="preserve"> </w:t>
      </w:r>
      <w:r w:rsidR="00B73410">
        <w:rPr>
          <w:sz w:val="24"/>
          <w:szCs w:val="24"/>
          <w:lang w:val="en-ID"/>
        </w:rPr>
        <w:fldChar w:fldCharType="begin" w:fldLock="1"/>
      </w:r>
      <w:r w:rsidR="0098769F">
        <w:rPr>
          <w:sz w:val="24"/>
          <w:szCs w:val="24"/>
          <w:lang w:val="en-ID"/>
        </w:rPr>
        <w:instrText>ADDIN CSL_CITATION {"citationItems":[{"id":"ITEM-1","itemData":{"abstract":"Persepsi adalah suatu proses pengenalan atau identifikasi sesuatu dengan menggunakan panca indera (Drever, 2010). persepsi merupakan inti komunikasi. Persepsi memiliki peran yang sangat penting dalam keberhasilan komunikasi. Artinya, kecermatan dalam mempersepsikan stimuli inderawi mengantarkan kepada keberhasilan komunikasi. Sebaliknya, kegagalan dalam mempersepsi stimulus, menyebabkan mis-komunikasi (Suranto, 2011)","author":[{"dropping-particle":"","family":"Sugiyono","given":"Sugiyono","non-dropping-particle":"","parse-names":false,"suffix":""}],"container-title":"ALFABETA","id":"ITEM-1","issued":{"date-parts":[["2017"]]},"title":"Metode Penelitian Kuantitatif, Kualitatif Dan R &amp; D","type":"article-journal"},"uris":["http://www.mendeley.com/documents/?uuid=d0269968-96f0-42b0-a874-a69acfc5706a"]}],"mendeley":{"formattedCitation":"(Sugiyono, 2017)","plainTextFormattedCitation":"(Sugiyono, 2017)","previouslyFormattedCitation":"(Sugiyono, 2017)"},"properties":{"noteIndex":0},"schema":"https://github.com/citation-style-language/schema/raw/master/csl-citation.json"}</w:instrText>
      </w:r>
      <w:r w:rsidR="00B73410">
        <w:rPr>
          <w:sz w:val="24"/>
          <w:szCs w:val="24"/>
          <w:lang w:val="en-ID"/>
        </w:rPr>
        <w:fldChar w:fldCharType="separate"/>
      </w:r>
      <w:r w:rsidR="00B73410" w:rsidRPr="00B73410">
        <w:rPr>
          <w:noProof/>
          <w:sz w:val="24"/>
          <w:szCs w:val="24"/>
          <w:lang w:val="en-ID"/>
        </w:rPr>
        <w:t>(Sugiyono, 2017)</w:t>
      </w:r>
      <w:r w:rsidR="00B73410">
        <w:rPr>
          <w:sz w:val="24"/>
          <w:szCs w:val="24"/>
          <w:lang w:val="en-ID"/>
        </w:rPr>
        <w:fldChar w:fldCharType="end"/>
      </w:r>
      <w:r w:rsidR="00B73410">
        <w:rPr>
          <w:sz w:val="24"/>
          <w:szCs w:val="24"/>
          <w:lang w:val="en-ID"/>
        </w:rPr>
        <w:t xml:space="preserve">. </w:t>
      </w:r>
      <w:r w:rsidRPr="007E5A51">
        <w:rPr>
          <w:sz w:val="24"/>
          <w:szCs w:val="24"/>
        </w:rPr>
        <w:t>Below are the results of the normality test</w:t>
      </w:r>
      <w:r w:rsidR="00B73410" w:rsidRPr="00B73410">
        <w:rPr>
          <w:sz w:val="24"/>
          <w:szCs w:val="24"/>
          <w:lang w:val="en-ID"/>
        </w:rPr>
        <w:t>:</w:t>
      </w:r>
    </w:p>
    <w:p w14:paraId="103A0523" w14:textId="77777777" w:rsidR="00B73410" w:rsidRDefault="00B73410" w:rsidP="00B73410">
      <w:pPr>
        <w:jc w:val="both"/>
        <w:rPr>
          <w:sz w:val="24"/>
          <w:szCs w:val="24"/>
          <w:lang w:val="en-ID"/>
        </w:rPr>
      </w:pPr>
    </w:p>
    <w:p w14:paraId="1CE3C60A" w14:textId="77777777" w:rsidR="00B73410" w:rsidRDefault="00BC2F61" w:rsidP="00B73410">
      <w:pPr>
        <w:jc w:val="center"/>
        <w:rPr>
          <w:sz w:val="24"/>
          <w:szCs w:val="24"/>
          <w:lang w:val="en-ID"/>
        </w:rPr>
      </w:pPr>
      <w:r>
        <w:rPr>
          <w:b/>
          <w:bCs/>
          <w:sz w:val="24"/>
          <w:szCs w:val="24"/>
          <w:lang w:val="en-ID"/>
        </w:rPr>
        <w:t>Ta</w:t>
      </w:r>
      <w:r w:rsidR="007E5A51">
        <w:rPr>
          <w:b/>
          <w:bCs/>
          <w:sz w:val="24"/>
          <w:szCs w:val="24"/>
          <w:lang w:val="en-ID"/>
        </w:rPr>
        <w:t>ble</w:t>
      </w:r>
      <w:r>
        <w:rPr>
          <w:b/>
          <w:bCs/>
          <w:sz w:val="24"/>
          <w:szCs w:val="24"/>
          <w:lang w:val="en-ID"/>
        </w:rPr>
        <w:t xml:space="preserve"> 8. </w:t>
      </w:r>
      <w:r w:rsidR="007E5A51" w:rsidRPr="007E5A51">
        <w:rPr>
          <w:sz w:val="24"/>
          <w:szCs w:val="24"/>
          <w:lang w:val="en-ID"/>
        </w:rPr>
        <w:t>Multicollinearity test results</w:t>
      </w:r>
    </w:p>
    <w:tbl>
      <w:tblPr>
        <w:tblW w:w="6232" w:type="dxa"/>
        <w:jc w:val="center"/>
        <w:tblLook w:val="04A0" w:firstRow="1" w:lastRow="0" w:firstColumn="1" w:lastColumn="0" w:noHBand="0" w:noVBand="1"/>
      </w:tblPr>
      <w:tblGrid>
        <w:gridCol w:w="1271"/>
        <w:gridCol w:w="1587"/>
        <w:gridCol w:w="1673"/>
        <w:gridCol w:w="1701"/>
      </w:tblGrid>
      <w:tr w:rsidR="000B5092" w14:paraId="3B0B93D1" w14:textId="77777777" w:rsidTr="00B73410">
        <w:trPr>
          <w:trHeight w:val="310"/>
          <w:jc w:val="center"/>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313B8E" w14:textId="77777777" w:rsidR="00B73410" w:rsidRPr="00B9607F" w:rsidRDefault="00BC2F61" w:rsidP="00A34EE9">
            <w:pPr>
              <w:jc w:val="center"/>
              <w:rPr>
                <w:color w:val="000000"/>
                <w:lang w:eastAsia="en-ID"/>
              </w:rPr>
            </w:pPr>
            <w:r w:rsidRPr="00B9607F">
              <w:rPr>
                <w:color w:val="000000"/>
                <w:lang w:eastAsia="en-ID"/>
              </w:rPr>
              <w:t> </w:t>
            </w:r>
          </w:p>
        </w:tc>
        <w:tc>
          <w:tcPr>
            <w:tcW w:w="1587" w:type="dxa"/>
            <w:tcBorders>
              <w:top w:val="single" w:sz="4" w:space="0" w:color="auto"/>
              <w:left w:val="nil"/>
              <w:bottom w:val="single" w:sz="4" w:space="0" w:color="auto"/>
              <w:right w:val="single" w:sz="4" w:space="0" w:color="auto"/>
            </w:tcBorders>
            <w:shd w:val="clear" w:color="auto" w:fill="auto"/>
            <w:noWrap/>
            <w:vAlign w:val="bottom"/>
            <w:hideMark/>
          </w:tcPr>
          <w:p w14:paraId="20C6B332" w14:textId="77777777" w:rsidR="00B73410" w:rsidRPr="00B9607F" w:rsidRDefault="00BC2F61" w:rsidP="00A34EE9">
            <w:pPr>
              <w:jc w:val="center"/>
              <w:rPr>
                <w:color w:val="000000"/>
                <w:lang w:eastAsia="en-ID"/>
              </w:rPr>
            </w:pPr>
            <w:r>
              <w:rPr>
                <w:sz w:val="24"/>
                <w:szCs w:val="24"/>
              </w:rPr>
              <w:t>Size (X</w:t>
            </w:r>
            <w:r>
              <w:rPr>
                <w:sz w:val="24"/>
                <w:szCs w:val="24"/>
                <w:vertAlign w:val="subscript"/>
              </w:rPr>
              <w:t>1</w:t>
            </w:r>
            <w:r>
              <w:rPr>
                <w:sz w:val="24"/>
                <w:szCs w:val="24"/>
              </w:rPr>
              <w:t>)</w:t>
            </w:r>
          </w:p>
        </w:tc>
        <w:tc>
          <w:tcPr>
            <w:tcW w:w="1673" w:type="dxa"/>
            <w:tcBorders>
              <w:top w:val="single" w:sz="4" w:space="0" w:color="auto"/>
              <w:left w:val="nil"/>
              <w:bottom w:val="single" w:sz="4" w:space="0" w:color="auto"/>
              <w:right w:val="single" w:sz="4" w:space="0" w:color="auto"/>
            </w:tcBorders>
            <w:shd w:val="clear" w:color="auto" w:fill="auto"/>
            <w:noWrap/>
            <w:vAlign w:val="bottom"/>
            <w:hideMark/>
          </w:tcPr>
          <w:p w14:paraId="01D53B44" w14:textId="77777777" w:rsidR="00B73410" w:rsidRPr="00B9607F" w:rsidRDefault="00BC2F61" w:rsidP="00A34EE9">
            <w:pPr>
              <w:jc w:val="center"/>
              <w:rPr>
                <w:color w:val="000000"/>
                <w:lang w:eastAsia="en-ID"/>
              </w:rPr>
            </w:pPr>
            <w:r>
              <w:rPr>
                <w:sz w:val="24"/>
                <w:szCs w:val="24"/>
              </w:rPr>
              <w:t>DPK (X</w:t>
            </w:r>
            <w:r>
              <w:rPr>
                <w:sz w:val="24"/>
                <w:szCs w:val="24"/>
                <w:vertAlign w:val="subscript"/>
              </w:rPr>
              <w:t>2</w:t>
            </w:r>
            <w:r>
              <w:rPr>
                <w:sz w:val="24"/>
                <w:szCs w:val="24"/>
              </w:rPr>
              <w:t>)</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6C4F58B9" w14:textId="77777777" w:rsidR="00B73410" w:rsidRPr="00B9607F" w:rsidRDefault="00BC2F61" w:rsidP="00A34EE9">
            <w:pPr>
              <w:jc w:val="center"/>
              <w:rPr>
                <w:color w:val="000000"/>
                <w:lang w:eastAsia="en-ID"/>
              </w:rPr>
            </w:pPr>
            <w:r>
              <w:rPr>
                <w:sz w:val="24"/>
                <w:szCs w:val="24"/>
              </w:rPr>
              <w:t>KD (X</w:t>
            </w:r>
            <w:r>
              <w:rPr>
                <w:sz w:val="24"/>
                <w:szCs w:val="24"/>
                <w:vertAlign w:val="subscript"/>
              </w:rPr>
              <w:t>3</w:t>
            </w:r>
            <w:r>
              <w:rPr>
                <w:sz w:val="24"/>
                <w:szCs w:val="24"/>
              </w:rPr>
              <w:t>)</w:t>
            </w:r>
          </w:p>
        </w:tc>
      </w:tr>
      <w:tr w:rsidR="000B5092" w14:paraId="1F9030D2" w14:textId="77777777" w:rsidTr="00B73410">
        <w:trPr>
          <w:trHeight w:val="310"/>
          <w:jc w:val="center"/>
        </w:trPr>
        <w:tc>
          <w:tcPr>
            <w:tcW w:w="1271" w:type="dxa"/>
            <w:tcBorders>
              <w:top w:val="nil"/>
              <w:left w:val="single" w:sz="4" w:space="0" w:color="auto"/>
              <w:bottom w:val="single" w:sz="4" w:space="0" w:color="auto"/>
              <w:right w:val="single" w:sz="4" w:space="0" w:color="auto"/>
            </w:tcBorders>
            <w:shd w:val="clear" w:color="auto" w:fill="auto"/>
            <w:noWrap/>
            <w:hideMark/>
          </w:tcPr>
          <w:p w14:paraId="463284FA" w14:textId="77777777" w:rsidR="00B73410" w:rsidRPr="00B9607F" w:rsidRDefault="00BC2F61" w:rsidP="00B73410">
            <w:pPr>
              <w:rPr>
                <w:color w:val="000000"/>
                <w:lang w:eastAsia="en-ID"/>
              </w:rPr>
            </w:pPr>
            <w:r>
              <w:rPr>
                <w:sz w:val="24"/>
                <w:szCs w:val="24"/>
              </w:rPr>
              <w:t>Size (X</w:t>
            </w:r>
            <w:r>
              <w:rPr>
                <w:sz w:val="24"/>
                <w:szCs w:val="24"/>
                <w:vertAlign w:val="subscript"/>
              </w:rPr>
              <w:t>1</w:t>
            </w:r>
            <w:r>
              <w:rPr>
                <w:sz w:val="24"/>
                <w:szCs w:val="24"/>
              </w:rPr>
              <w:t>)</w:t>
            </w:r>
          </w:p>
        </w:tc>
        <w:tc>
          <w:tcPr>
            <w:tcW w:w="1587" w:type="dxa"/>
            <w:tcBorders>
              <w:top w:val="nil"/>
              <w:left w:val="nil"/>
              <w:bottom w:val="single" w:sz="4" w:space="0" w:color="auto"/>
              <w:right w:val="single" w:sz="4" w:space="0" w:color="auto"/>
            </w:tcBorders>
            <w:shd w:val="clear" w:color="auto" w:fill="auto"/>
            <w:noWrap/>
            <w:vAlign w:val="bottom"/>
            <w:hideMark/>
          </w:tcPr>
          <w:p w14:paraId="1B2452AC" w14:textId="77777777" w:rsidR="00B73410" w:rsidRPr="00B9607F" w:rsidRDefault="00BC2F61" w:rsidP="00B73410">
            <w:pPr>
              <w:jc w:val="center"/>
              <w:rPr>
                <w:color w:val="000000"/>
                <w:lang w:eastAsia="en-ID"/>
              </w:rPr>
            </w:pPr>
            <w:r w:rsidRPr="00B9607F">
              <w:rPr>
                <w:color w:val="000000"/>
                <w:lang w:eastAsia="en-ID"/>
              </w:rPr>
              <w:t>1</w:t>
            </w:r>
            <w:r>
              <w:rPr>
                <w:color w:val="000000"/>
                <w:lang w:eastAsia="en-ID"/>
              </w:rPr>
              <w:t>.000000</w:t>
            </w:r>
          </w:p>
        </w:tc>
        <w:tc>
          <w:tcPr>
            <w:tcW w:w="1673" w:type="dxa"/>
            <w:tcBorders>
              <w:top w:val="nil"/>
              <w:left w:val="nil"/>
              <w:bottom w:val="single" w:sz="4" w:space="0" w:color="auto"/>
              <w:right w:val="single" w:sz="4" w:space="0" w:color="auto"/>
            </w:tcBorders>
            <w:shd w:val="clear" w:color="auto" w:fill="auto"/>
            <w:noWrap/>
            <w:vAlign w:val="bottom"/>
            <w:hideMark/>
          </w:tcPr>
          <w:p w14:paraId="5B8460E2" w14:textId="77777777" w:rsidR="00B73410" w:rsidRPr="00B9607F" w:rsidRDefault="00BC2F61" w:rsidP="00B73410">
            <w:pPr>
              <w:jc w:val="center"/>
              <w:rPr>
                <w:color w:val="000000"/>
                <w:lang w:eastAsia="en-ID"/>
              </w:rPr>
            </w:pPr>
            <w:r w:rsidRPr="00B9607F">
              <w:rPr>
                <w:color w:val="000000"/>
                <w:lang w:eastAsia="en-ID"/>
              </w:rPr>
              <w:t>0.753977</w:t>
            </w:r>
          </w:p>
        </w:tc>
        <w:tc>
          <w:tcPr>
            <w:tcW w:w="1701" w:type="dxa"/>
            <w:tcBorders>
              <w:top w:val="nil"/>
              <w:left w:val="nil"/>
              <w:bottom w:val="single" w:sz="4" w:space="0" w:color="auto"/>
              <w:right w:val="single" w:sz="4" w:space="0" w:color="auto"/>
            </w:tcBorders>
            <w:shd w:val="clear" w:color="auto" w:fill="auto"/>
            <w:noWrap/>
            <w:vAlign w:val="bottom"/>
            <w:hideMark/>
          </w:tcPr>
          <w:p w14:paraId="00859420" w14:textId="77777777" w:rsidR="00B73410" w:rsidRPr="00B9607F" w:rsidRDefault="00BC2F61" w:rsidP="00B73410">
            <w:pPr>
              <w:jc w:val="center"/>
              <w:rPr>
                <w:color w:val="000000"/>
                <w:lang w:eastAsia="en-ID"/>
              </w:rPr>
            </w:pPr>
            <w:r w:rsidRPr="00B9607F">
              <w:rPr>
                <w:color w:val="000000"/>
                <w:lang w:eastAsia="en-ID"/>
              </w:rPr>
              <w:t>-0.240609</w:t>
            </w:r>
          </w:p>
        </w:tc>
      </w:tr>
      <w:tr w:rsidR="000B5092" w14:paraId="1B111CDE" w14:textId="77777777" w:rsidTr="00B73410">
        <w:trPr>
          <w:trHeight w:val="310"/>
          <w:jc w:val="center"/>
        </w:trPr>
        <w:tc>
          <w:tcPr>
            <w:tcW w:w="1271" w:type="dxa"/>
            <w:tcBorders>
              <w:top w:val="nil"/>
              <w:left w:val="single" w:sz="4" w:space="0" w:color="auto"/>
              <w:bottom w:val="single" w:sz="4" w:space="0" w:color="auto"/>
              <w:right w:val="single" w:sz="4" w:space="0" w:color="auto"/>
            </w:tcBorders>
            <w:shd w:val="clear" w:color="auto" w:fill="auto"/>
            <w:noWrap/>
            <w:hideMark/>
          </w:tcPr>
          <w:p w14:paraId="79ADADAC" w14:textId="77777777" w:rsidR="00B73410" w:rsidRPr="00B9607F" w:rsidRDefault="00BC2F61" w:rsidP="00B73410">
            <w:pPr>
              <w:rPr>
                <w:color w:val="000000"/>
                <w:lang w:eastAsia="en-ID"/>
              </w:rPr>
            </w:pPr>
            <w:r>
              <w:rPr>
                <w:sz w:val="24"/>
                <w:szCs w:val="24"/>
              </w:rPr>
              <w:t>DPK (X</w:t>
            </w:r>
            <w:r>
              <w:rPr>
                <w:sz w:val="24"/>
                <w:szCs w:val="24"/>
                <w:vertAlign w:val="subscript"/>
              </w:rPr>
              <w:t>2</w:t>
            </w:r>
            <w:r>
              <w:rPr>
                <w:sz w:val="24"/>
                <w:szCs w:val="24"/>
              </w:rPr>
              <w:t>)</w:t>
            </w:r>
          </w:p>
        </w:tc>
        <w:tc>
          <w:tcPr>
            <w:tcW w:w="1587" w:type="dxa"/>
            <w:tcBorders>
              <w:top w:val="nil"/>
              <w:left w:val="nil"/>
              <w:bottom w:val="single" w:sz="4" w:space="0" w:color="auto"/>
              <w:right w:val="single" w:sz="4" w:space="0" w:color="auto"/>
            </w:tcBorders>
            <w:shd w:val="clear" w:color="auto" w:fill="auto"/>
            <w:noWrap/>
            <w:vAlign w:val="bottom"/>
            <w:hideMark/>
          </w:tcPr>
          <w:p w14:paraId="16EC8C78" w14:textId="77777777" w:rsidR="00B73410" w:rsidRPr="00B9607F" w:rsidRDefault="00BC2F61" w:rsidP="00B73410">
            <w:pPr>
              <w:jc w:val="center"/>
              <w:rPr>
                <w:color w:val="000000"/>
                <w:lang w:eastAsia="en-ID"/>
              </w:rPr>
            </w:pPr>
            <w:r w:rsidRPr="00B9607F">
              <w:rPr>
                <w:color w:val="000000"/>
                <w:lang w:eastAsia="en-ID"/>
              </w:rPr>
              <w:t>0.753977</w:t>
            </w:r>
          </w:p>
        </w:tc>
        <w:tc>
          <w:tcPr>
            <w:tcW w:w="1673" w:type="dxa"/>
            <w:tcBorders>
              <w:top w:val="nil"/>
              <w:left w:val="nil"/>
              <w:bottom w:val="single" w:sz="4" w:space="0" w:color="auto"/>
              <w:right w:val="single" w:sz="4" w:space="0" w:color="auto"/>
            </w:tcBorders>
            <w:shd w:val="clear" w:color="auto" w:fill="auto"/>
            <w:noWrap/>
            <w:vAlign w:val="bottom"/>
            <w:hideMark/>
          </w:tcPr>
          <w:p w14:paraId="0BD5A5E6" w14:textId="77777777" w:rsidR="00B73410" w:rsidRPr="00B9607F" w:rsidRDefault="00BC2F61" w:rsidP="00B73410">
            <w:pPr>
              <w:jc w:val="center"/>
              <w:rPr>
                <w:color w:val="000000"/>
                <w:lang w:eastAsia="en-ID"/>
              </w:rPr>
            </w:pPr>
            <w:r w:rsidRPr="00B9607F">
              <w:rPr>
                <w:color w:val="000000"/>
                <w:lang w:eastAsia="en-ID"/>
              </w:rPr>
              <w:t>1</w:t>
            </w:r>
            <w:r>
              <w:rPr>
                <w:color w:val="000000"/>
                <w:lang w:eastAsia="en-ID"/>
              </w:rPr>
              <w:t>.000000</w:t>
            </w:r>
          </w:p>
        </w:tc>
        <w:tc>
          <w:tcPr>
            <w:tcW w:w="1701" w:type="dxa"/>
            <w:tcBorders>
              <w:top w:val="nil"/>
              <w:left w:val="nil"/>
              <w:bottom w:val="single" w:sz="4" w:space="0" w:color="auto"/>
              <w:right w:val="single" w:sz="4" w:space="0" w:color="auto"/>
            </w:tcBorders>
            <w:shd w:val="clear" w:color="auto" w:fill="auto"/>
            <w:noWrap/>
            <w:vAlign w:val="bottom"/>
            <w:hideMark/>
          </w:tcPr>
          <w:p w14:paraId="1E4A14EA" w14:textId="77777777" w:rsidR="00B73410" w:rsidRPr="00B9607F" w:rsidRDefault="00BC2F61" w:rsidP="00B73410">
            <w:pPr>
              <w:jc w:val="center"/>
              <w:rPr>
                <w:color w:val="000000"/>
                <w:lang w:eastAsia="en-ID"/>
              </w:rPr>
            </w:pPr>
            <w:r w:rsidRPr="00B9607F">
              <w:rPr>
                <w:color w:val="000000"/>
                <w:lang w:eastAsia="en-ID"/>
              </w:rPr>
              <w:t>-0.181162</w:t>
            </w:r>
          </w:p>
        </w:tc>
      </w:tr>
      <w:tr w:rsidR="000B5092" w14:paraId="0991603F" w14:textId="77777777" w:rsidTr="00B73410">
        <w:trPr>
          <w:trHeight w:val="310"/>
          <w:jc w:val="center"/>
        </w:trPr>
        <w:tc>
          <w:tcPr>
            <w:tcW w:w="1271" w:type="dxa"/>
            <w:tcBorders>
              <w:top w:val="nil"/>
              <w:left w:val="single" w:sz="4" w:space="0" w:color="auto"/>
              <w:bottom w:val="single" w:sz="4" w:space="0" w:color="auto"/>
              <w:right w:val="single" w:sz="4" w:space="0" w:color="auto"/>
            </w:tcBorders>
            <w:shd w:val="clear" w:color="auto" w:fill="auto"/>
            <w:noWrap/>
            <w:hideMark/>
          </w:tcPr>
          <w:p w14:paraId="7A8D2B8A" w14:textId="77777777" w:rsidR="00B73410" w:rsidRPr="00B9607F" w:rsidRDefault="00BC2F61" w:rsidP="00B73410">
            <w:pPr>
              <w:rPr>
                <w:color w:val="000000"/>
                <w:lang w:eastAsia="en-ID"/>
              </w:rPr>
            </w:pPr>
            <w:r>
              <w:rPr>
                <w:sz w:val="24"/>
                <w:szCs w:val="24"/>
              </w:rPr>
              <w:t>KD (X</w:t>
            </w:r>
            <w:r>
              <w:rPr>
                <w:sz w:val="24"/>
                <w:szCs w:val="24"/>
                <w:vertAlign w:val="subscript"/>
              </w:rPr>
              <w:t>3</w:t>
            </w:r>
            <w:r>
              <w:rPr>
                <w:sz w:val="24"/>
                <w:szCs w:val="24"/>
              </w:rPr>
              <w:t>)</w:t>
            </w:r>
          </w:p>
        </w:tc>
        <w:tc>
          <w:tcPr>
            <w:tcW w:w="1587" w:type="dxa"/>
            <w:tcBorders>
              <w:top w:val="nil"/>
              <w:left w:val="nil"/>
              <w:bottom w:val="single" w:sz="4" w:space="0" w:color="auto"/>
              <w:right w:val="single" w:sz="4" w:space="0" w:color="auto"/>
            </w:tcBorders>
            <w:shd w:val="clear" w:color="auto" w:fill="auto"/>
            <w:noWrap/>
            <w:vAlign w:val="bottom"/>
            <w:hideMark/>
          </w:tcPr>
          <w:p w14:paraId="14CC447F" w14:textId="77777777" w:rsidR="00B73410" w:rsidRPr="00B9607F" w:rsidRDefault="00BC2F61" w:rsidP="00B73410">
            <w:pPr>
              <w:jc w:val="center"/>
              <w:rPr>
                <w:color w:val="000000"/>
                <w:lang w:eastAsia="en-ID"/>
              </w:rPr>
            </w:pPr>
            <w:r w:rsidRPr="00B9607F">
              <w:rPr>
                <w:color w:val="000000"/>
                <w:lang w:eastAsia="en-ID"/>
              </w:rPr>
              <w:t>-0.240609</w:t>
            </w:r>
          </w:p>
        </w:tc>
        <w:tc>
          <w:tcPr>
            <w:tcW w:w="1673" w:type="dxa"/>
            <w:tcBorders>
              <w:top w:val="nil"/>
              <w:left w:val="nil"/>
              <w:bottom w:val="single" w:sz="4" w:space="0" w:color="auto"/>
              <w:right w:val="single" w:sz="4" w:space="0" w:color="auto"/>
            </w:tcBorders>
            <w:shd w:val="clear" w:color="auto" w:fill="auto"/>
            <w:noWrap/>
            <w:vAlign w:val="bottom"/>
            <w:hideMark/>
          </w:tcPr>
          <w:p w14:paraId="7B6C7D3F" w14:textId="77777777" w:rsidR="00B73410" w:rsidRPr="00B9607F" w:rsidRDefault="00BC2F61" w:rsidP="00B73410">
            <w:pPr>
              <w:jc w:val="center"/>
              <w:rPr>
                <w:color w:val="000000"/>
                <w:lang w:eastAsia="en-ID"/>
              </w:rPr>
            </w:pPr>
            <w:r w:rsidRPr="00B9607F">
              <w:rPr>
                <w:color w:val="000000"/>
                <w:lang w:eastAsia="en-ID"/>
              </w:rPr>
              <w:t>-0.181162</w:t>
            </w:r>
          </w:p>
        </w:tc>
        <w:tc>
          <w:tcPr>
            <w:tcW w:w="1701" w:type="dxa"/>
            <w:tcBorders>
              <w:top w:val="nil"/>
              <w:left w:val="nil"/>
              <w:bottom w:val="single" w:sz="4" w:space="0" w:color="auto"/>
              <w:right w:val="single" w:sz="4" w:space="0" w:color="auto"/>
            </w:tcBorders>
            <w:shd w:val="clear" w:color="auto" w:fill="auto"/>
            <w:noWrap/>
            <w:vAlign w:val="bottom"/>
            <w:hideMark/>
          </w:tcPr>
          <w:p w14:paraId="0C0DD42C" w14:textId="77777777" w:rsidR="00B73410" w:rsidRPr="00B9607F" w:rsidRDefault="00BC2F61" w:rsidP="00B73410">
            <w:pPr>
              <w:jc w:val="center"/>
              <w:rPr>
                <w:color w:val="000000"/>
                <w:lang w:eastAsia="en-ID"/>
              </w:rPr>
            </w:pPr>
            <w:r w:rsidRPr="00B9607F">
              <w:rPr>
                <w:color w:val="000000"/>
                <w:lang w:eastAsia="en-ID"/>
              </w:rPr>
              <w:t>1</w:t>
            </w:r>
            <w:r>
              <w:rPr>
                <w:color w:val="000000"/>
                <w:lang w:eastAsia="en-ID"/>
              </w:rPr>
              <w:t>.000000</w:t>
            </w:r>
          </w:p>
        </w:tc>
      </w:tr>
    </w:tbl>
    <w:p w14:paraId="29261692" w14:textId="77777777" w:rsidR="00B73410" w:rsidRPr="00B73410" w:rsidRDefault="00B73410" w:rsidP="00B73410">
      <w:pPr>
        <w:jc w:val="center"/>
        <w:rPr>
          <w:sz w:val="24"/>
          <w:szCs w:val="24"/>
        </w:rPr>
      </w:pPr>
    </w:p>
    <w:p w14:paraId="353CB608" w14:textId="77777777" w:rsidR="00B73410" w:rsidRPr="00B73410" w:rsidRDefault="00BC2F61" w:rsidP="007E5A51">
      <w:pPr>
        <w:ind w:firstLine="567"/>
        <w:jc w:val="both"/>
        <w:rPr>
          <w:sz w:val="24"/>
          <w:szCs w:val="24"/>
          <w:lang w:val="en-ID"/>
        </w:rPr>
      </w:pPr>
      <w:r w:rsidRPr="007E5A51">
        <w:rPr>
          <w:sz w:val="24"/>
          <w:szCs w:val="24"/>
          <w:lang w:val="en"/>
        </w:rPr>
        <w:t>Based on the results of the test above, it can be seen that the value of the independent variable is more minor than (&lt;0.90), which can be concluded that the independent variable does not have symptoms of multicollinearity</w:t>
      </w:r>
      <w:r w:rsidRPr="00B73410">
        <w:rPr>
          <w:sz w:val="24"/>
          <w:szCs w:val="24"/>
          <w:lang w:val="en-ID"/>
        </w:rPr>
        <w:t>.</w:t>
      </w:r>
    </w:p>
    <w:p w14:paraId="75202652" w14:textId="77777777" w:rsidR="00B73410" w:rsidRDefault="00BC2F61" w:rsidP="007E5A51">
      <w:pPr>
        <w:ind w:firstLine="567"/>
        <w:jc w:val="both"/>
        <w:rPr>
          <w:sz w:val="24"/>
          <w:szCs w:val="24"/>
          <w:lang w:val="en-ID"/>
        </w:rPr>
      </w:pPr>
      <w:r w:rsidRPr="007E5A51">
        <w:rPr>
          <w:sz w:val="24"/>
          <w:szCs w:val="24"/>
          <w:lang w:val="en"/>
        </w:rPr>
        <w:t>Next, the second test was the heteroscedasticity test. The following are the results of the heteroscedasticity test</w:t>
      </w:r>
      <w:r w:rsidRPr="00B73410">
        <w:rPr>
          <w:sz w:val="24"/>
          <w:szCs w:val="24"/>
          <w:lang w:val="en-ID"/>
        </w:rPr>
        <w:t>:</w:t>
      </w:r>
    </w:p>
    <w:p w14:paraId="6D6B1AB0" w14:textId="77777777" w:rsidR="00B73410" w:rsidRDefault="00B73410" w:rsidP="00B73410">
      <w:pPr>
        <w:ind w:firstLine="567"/>
        <w:jc w:val="both"/>
        <w:rPr>
          <w:sz w:val="24"/>
          <w:szCs w:val="24"/>
          <w:lang w:val="en-ID"/>
        </w:rPr>
      </w:pPr>
    </w:p>
    <w:p w14:paraId="40EBB85D" w14:textId="77777777" w:rsidR="00B73410" w:rsidRDefault="00BC2F61" w:rsidP="00B73410">
      <w:pPr>
        <w:jc w:val="center"/>
        <w:rPr>
          <w:sz w:val="24"/>
          <w:szCs w:val="24"/>
          <w:lang w:val="en-ID"/>
        </w:rPr>
      </w:pPr>
      <w:r>
        <w:rPr>
          <w:b/>
          <w:bCs/>
          <w:sz w:val="24"/>
          <w:szCs w:val="24"/>
          <w:lang w:val="en-ID"/>
        </w:rPr>
        <w:t>Ta</w:t>
      </w:r>
      <w:r w:rsidR="007C1B52">
        <w:rPr>
          <w:b/>
          <w:bCs/>
          <w:sz w:val="24"/>
          <w:szCs w:val="24"/>
          <w:lang w:val="en-ID"/>
        </w:rPr>
        <w:t>ble</w:t>
      </w:r>
      <w:r>
        <w:rPr>
          <w:b/>
          <w:bCs/>
          <w:sz w:val="24"/>
          <w:szCs w:val="24"/>
          <w:lang w:val="en-ID"/>
        </w:rPr>
        <w:t xml:space="preserve"> 9. </w:t>
      </w:r>
      <w:r w:rsidR="007E5A51">
        <w:rPr>
          <w:sz w:val="24"/>
          <w:szCs w:val="24"/>
          <w:lang w:val="en"/>
        </w:rPr>
        <w:t>H</w:t>
      </w:r>
      <w:r w:rsidR="007E5A51" w:rsidRPr="007E5A51">
        <w:rPr>
          <w:sz w:val="24"/>
          <w:szCs w:val="24"/>
          <w:lang w:val="en"/>
        </w:rPr>
        <w:t>eteroscedasticity</w:t>
      </w:r>
      <w:r w:rsidR="007E5A51">
        <w:rPr>
          <w:sz w:val="24"/>
          <w:szCs w:val="24"/>
          <w:lang w:val="en"/>
        </w:rPr>
        <w:t xml:space="preserve"> test results</w:t>
      </w:r>
    </w:p>
    <w:tbl>
      <w:tblPr>
        <w:tblW w:w="0" w:type="auto"/>
        <w:jc w:val="center"/>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1920"/>
        <w:gridCol w:w="1199"/>
        <w:gridCol w:w="1150"/>
        <w:gridCol w:w="1150"/>
        <w:gridCol w:w="950"/>
      </w:tblGrid>
      <w:tr w:rsidR="000B5092" w14:paraId="5ECFDB88" w14:textId="77777777" w:rsidTr="00B73410">
        <w:trPr>
          <w:trHeight w:val="220"/>
          <w:jc w:val="center"/>
        </w:trPr>
        <w:tc>
          <w:tcPr>
            <w:tcW w:w="1920" w:type="dxa"/>
            <w:vAlign w:val="bottom"/>
          </w:tcPr>
          <w:p w14:paraId="2E0CAD50" w14:textId="77777777" w:rsidR="00B73410" w:rsidRPr="0091708F" w:rsidRDefault="00BC2F61" w:rsidP="00A34EE9">
            <w:pPr>
              <w:spacing w:line="360" w:lineRule="auto"/>
              <w:jc w:val="center"/>
              <w:rPr>
                <w:sz w:val="24"/>
                <w:szCs w:val="24"/>
              </w:rPr>
            </w:pPr>
            <w:r w:rsidRPr="0091708F">
              <w:rPr>
                <w:sz w:val="24"/>
                <w:szCs w:val="24"/>
              </w:rPr>
              <w:t>Variable</w:t>
            </w:r>
          </w:p>
        </w:tc>
        <w:tc>
          <w:tcPr>
            <w:tcW w:w="1199" w:type="dxa"/>
            <w:vAlign w:val="bottom"/>
          </w:tcPr>
          <w:p w14:paraId="3761B49F" w14:textId="77777777" w:rsidR="00B73410" w:rsidRPr="0091708F" w:rsidRDefault="00BC2F61" w:rsidP="00A34EE9">
            <w:pPr>
              <w:spacing w:line="360" w:lineRule="auto"/>
              <w:jc w:val="center"/>
              <w:rPr>
                <w:sz w:val="24"/>
                <w:szCs w:val="24"/>
              </w:rPr>
            </w:pPr>
            <w:r w:rsidRPr="0091708F">
              <w:rPr>
                <w:sz w:val="24"/>
                <w:szCs w:val="24"/>
              </w:rPr>
              <w:t>Coefficient</w:t>
            </w:r>
          </w:p>
        </w:tc>
        <w:tc>
          <w:tcPr>
            <w:tcW w:w="1150" w:type="dxa"/>
            <w:vAlign w:val="bottom"/>
          </w:tcPr>
          <w:p w14:paraId="3A5B1A71" w14:textId="77777777" w:rsidR="00B73410" w:rsidRPr="0091708F" w:rsidRDefault="00BC2F61" w:rsidP="00A34EE9">
            <w:pPr>
              <w:spacing w:line="360" w:lineRule="auto"/>
              <w:jc w:val="center"/>
              <w:rPr>
                <w:sz w:val="24"/>
                <w:szCs w:val="24"/>
              </w:rPr>
            </w:pPr>
            <w:r w:rsidRPr="0091708F">
              <w:rPr>
                <w:sz w:val="24"/>
                <w:szCs w:val="24"/>
              </w:rPr>
              <w:t>Std. Error</w:t>
            </w:r>
          </w:p>
        </w:tc>
        <w:tc>
          <w:tcPr>
            <w:tcW w:w="1150" w:type="dxa"/>
            <w:vAlign w:val="bottom"/>
          </w:tcPr>
          <w:p w14:paraId="5412435B" w14:textId="77777777" w:rsidR="00B73410" w:rsidRPr="0091708F" w:rsidRDefault="00BC2F61" w:rsidP="00A34EE9">
            <w:pPr>
              <w:spacing w:line="360" w:lineRule="auto"/>
              <w:jc w:val="center"/>
              <w:rPr>
                <w:sz w:val="24"/>
                <w:szCs w:val="24"/>
              </w:rPr>
            </w:pPr>
            <w:r w:rsidRPr="0091708F">
              <w:rPr>
                <w:sz w:val="24"/>
                <w:szCs w:val="24"/>
              </w:rPr>
              <w:t>t-Statistic</w:t>
            </w:r>
          </w:p>
        </w:tc>
        <w:tc>
          <w:tcPr>
            <w:tcW w:w="950" w:type="dxa"/>
            <w:vAlign w:val="bottom"/>
          </w:tcPr>
          <w:p w14:paraId="5BAEDFE3" w14:textId="77777777" w:rsidR="00B73410" w:rsidRPr="0091708F" w:rsidRDefault="00BC2F61" w:rsidP="00A34EE9">
            <w:pPr>
              <w:spacing w:line="360" w:lineRule="auto"/>
              <w:jc w:val="center"/>
              <w:rPr>
                <w:sz w:val="24"/>
                <w:szCs w:val="24"/>
              </w:rPr>
            </w:pPr>
            <w:r w:rsidRPr="0091708F">
              <w:rPr>
                <w:sz w:val="24"/>
                <w:szCs w:val="24"/>
              </w:rPr>
              <w:t>Prob.  </w:t>
            </w:r>
          </w:p>
        </w:tc>
      </w:tr>
      <w:tr w:rsidR="000B5092" w14:paraId="057D5CB7" w14:textId="77777777" w:rsidTr="00B73410">
        <w:trPr>
          <w:trHeight w:val="220"/>
          <w:jc w:val="center"/>
        </w:trPr>
        <w:tc>
          <w:tcPr>
            <w:tcW w:w="1920" w:type="dxa"/>
            <w:vAlign w:val="bottom"/>
          </w:tcPr>
          <w:p w14:paraId="6725E8F7" w14:textId="77777777" w:rsidR="00B73410" w:rsidRPr="0091708F" w:rsidRDefault="00BC2F61" w:rsidP="00A34EE9">
            <w:pPr>
              <w:spacing w:line="360" w:lineRule="auto"/>
              <w:jc w:val="center"/>
              <w:rPr>
                <w:sz w:val="24"/>
                <w:szCs w:val="24"/>
              </w:rPr>
            </w:pPr>
            <w:r w:rsidRPr="0091708F">
              <w:rPr>
                <w:sz w:val="24"/>
                <w:szCs w:val="24"/>
              </w:rPr>
              <w:t>C</w:t>
            </w:r>
          </w:p>
        </w:tc>
        <w:tc>
          <w:tcPr>
            <w:tcW w:w="1199" w:type="dxa"/>
            <w:vAlign w:val="bottom"/>
          </w:tcPr>
          <w:p w14:paraId="34672F89" w14:textId="77777777" w:rsidR="00B73410" w:rsidRPr="0091708F" w:rsidRDefault="00BC2F61" w:rsidP="00A34EE9">
            <w:pPr>
              <w:spacing w:line="360" w:lineRule="auto"/>
              <w:jc w:val="center"/>
              <w:rPr>
                <w:sz w:val="24"/>
                <w:szCs w:val="24"/>
              </w:rPr>
            </w:pPr>
            <w:r w:rsidRPr="0091708F">
              <w:rPr>
                <w:sz w:val="24"/>
                <w:szCs w:val="24"/>
              </w:rPr>
              <w:t>0.542344</w:t>
            </w:r>
          </w:p>
        </w:tc>
        <w:tc>
          <w:tcPr>
            <w:tcW w:w="1150" w:type="dxa"/>
            <w:vAlign w:val="bottom"/>
          </w:tcPr>
          <w:p w14:paraId="75977282" w14:textId="77777777" w:rsidR="00B73410" w:rsidRPr="0091708F" w:rsidRDefault="00BC2F61" w:rsidP="00A34EE9">
            <w:pPr>
              <w:spacing w:line="360" w:lineRule="auto"/>
              <w:jc w:val="center"/>
              <w:rPr>
                <w:sz w:val="24"/>
                <w:szCs w:val="24"/>
              </w:rPr>
            </w:pPr>
            <w:r w:rsidRPr="0091708F">
              <w:rPr>
                <w:sz w:val="24"/>
                <w:szCs w:val="24"/>
              </w:rPr>
              <w:t>0.124653</w:t>
            </w:r>
          </w:p>
        </w:tc>
        <w:tc>
          <w:tcPr>
            <w:tcW w:w="1150" w:type="dxa"/>
            <w:vAlign w:val="bottom"/>
          </w:tcPr>
          <w:p w14:paraId="4E10D9F7" w14:textId="77777777" w:rsidR="00B73410" w:rsidRPr="0091708F" w:rsidRDefault="00BC2F61" w:rsidP="00A34EE9">
            <w:pPr>
              <w:spacing w:line="360" w:lineRule="auto"/>
              <w:jc w:val="center"/>
              <w:rPr>
                <w:sz w:val="24"/>
                <w:szCs w:val="24"/>
              </w:rPr>
            </w:pPr>
            <w:r w:rsidRPr="0091708F">
              <w:rPr>
                <w:sz w:val="24"/>
                <w:szCs w:val="24"/>
              </w:rPr>
              <w:t>4.350837</w:t>
            </w:r>
          </w:p>
        </w:tc>
        <w:tc>
          <w:tcPr>
            <w:tcW w:w="950" w:type="dxa"/>
            <w:vAlign w:val="bottom"/>
          </w:tcPr>
          <w:p w14:paraId="7786B291" w14:textId="77777777" w:rsidR="00B73410" w:rsidRPr="0091708F" w:rsidRDefault="00BC2F61" w:rsidP="00A34EE9">
            <w:pPr>
              <w:spacing w:line="360" w:lineRule="auto"/>
              <w:jc w:val="center"/>
              <w:rPr>
                <w:sz w:val="24"/>
                <w:szCs w:val="24"/>
              </w:rPr>
            </w:pPr>
            <w:r w:rsidRPr="0091708F">
              <w:rPr>
                <w:sz w:val="24"/>
                <w:szCs w:val="24"/>
              </w:rPr>
              <w:t>0.0000</w:t>
            </w:r>
          </w:p>
        </w:tc>
      </w:tr>
      <w:tr w:rsidR="000B5092" w14:paraId="632AD116" w14:textId="77777777" w:rsidTr="00D60757">
        <w:trPr>
          <w:trHeight w:val="220"/>
          <w:jc w:val="center"/>
        </w:trPr>
        <w:tc>
          <w:tcPr>
            <w:tcW w:w="1920" w:type="dxa"/>
          </w:tcPr>
          <w:p w14:paraId="355A8BA8" w14:textId="77777777" w:rsidR="00B73410" w:rsidRPr="0091708F" w:rsidRDefault="00BC2F61" w:rsidP="00B73410">
            <w:pPr>
              <w:spacing w:line="360" w:lineRule="auto"/>
              <w:jc w:val="center"/>
              <w:rPr>
                <w:sz w:val="24"/>
                <w:szCs w:val="24"/>
              </w:rPr>
            </w:pPr>
            <w:r>
              <w:rPr>
                <w:sz w:val="24"/>
                <w:szCs w:val="24"/>
              </w:rPr>
              <w:t>Size (X</w:t>
            </w:r>
            <w:r>
              <w:rPr>
                <w:sz w:val="24"/>
                <w:szCs w:val="24"/>
                <w:vertAlign w:val="subscript"/>
              </w:rPr>
              <w:t>1</w:t>
            </w:r>
            <w:r>
              <w:rPr>
                <w:sz w:val="24"/>
                <w:szCs w:val="24"/>
              </w:rPr>
              <w:t>)</w:t>
            </w:r>
          </w:p>
        </w:tc>
        <w:tc>
          <w:tcPr>
            <w:tcW w:w="1199" w:type="dxa"/>
            <w:vAlign w:val="bottom"/>
          </w:tcPr>
          <w:p w14:paraId="6DAC8831" w14:textId="77777777" w:rsidR="00B73410" w:rsidRPr="0091708F" w:rsidRDefault="00BC2F61" w:rsidP="00B73410">
            <w:pPr>
              <w:spacing w:line="360" w:lineRule="auto"/>
              <w:jc w:val="center"/>
              <w:rPr>
                <w:sz w:val="24"/>
                <w:szCs w:val="24"/>
              </w:rPr>
            </w:pPr>
            <w:r w:rsidRPr="0091708F">
              <w:rPr>
                <w:sz w:val="24"/>
                <w:szCs w:val="24"/>
              </w:rPr>
              <w:t>0.001277</w:t>
            </w:r>
          </w:p>
        </w:tc>
        <w:tc>
          <w:tcPr>
            <w:tcW w:w="1150" w:type="dxa"/>
            <w:vAlign w:val="bottom"/>
          </w:tcPr>
          <w:p w14:paraId="0EF1A9AE" w14:textId="77777777" w:rsidR="00B73410" w:rsidRPr="0091708F" w:rsidRDefault="00BC2F61" w:rsidP="00B73410">
            <w:pPr>
              <w:spacing w:line="360" w:lineRule="auto"/>
              <w:jc w:val="center"/>
              <w:rPr>
                <w:sz w:val="24"/>
                <w:szCs w:val="24"/>
              </w:rPr>
            </w:pPr>
            <w:r w:rsidRPr="0091708F">
              <w:rPr>
                <w:sz w:val="24"/>
                <w:szCs w:val="24"/>
              </w:rPr>
              <w:t>0.001892</w:t>
            </w:r>
          </w:p>
        </w:tc>
        <w:tc>
          <w:tcPr>
            <w:tcW w:w="1150" w:type="dxa"/>
            <w:vAlign w:val="bottom"/>
          </w:tcPr>
          <w:p w14:paraId="68071EA6" w14:textId="77777777" w:rsidR="00B73410" w:rsidRPr="0091708F" w:rsidRDefault="00BC2F61" w:rsidP="00B73410">
            <w:pPr>
              <w:spacing w:line="360" w:lineRule="auto"/>
              <w:jc w:val="center"/>
              <w:rPr>
                <w:sz w:val="24"/>
                <w:szCs w:val="24"/>
              </w:rPr>
            </w:pPr>
            <w:r w:rsidRPr="0091708F">
              <w:rPr>
                <w:sz w:val="24"/>
                <w:szCs w:val="24"/>
              </w:rPr>
              <w:t>0.674838</w:t>
            </w:r>
          </w:p>
        </w:tc>
        <w:tc>
          <w:tcPr>
            <w:tcW w:w="950" w:type="dxa"/>
            <w:vAlign w:val="bottom"/>
          </w:tcPr>
          <w:p w14:paraId="742FA71C" w14:textId="77777777" w:rsidR="00B73410" w:rsidRPr="0091708F" w:rsidRDefault="00BC2F61" w:rsidP="00B73410">
            <w:pPr>
              <w:spacing w:line="360" w:lineRule="auto"/>
              <w:jc w:val="center"/>
              <w:rPr>
                <w:sz w:val="24"/>
                <w:szCs w:val="24"/>
              </w:rPr>
            </w:pPr>
            <w:r w:rsidRPr="0091708F">
              <w:rPr>
                <w:sz w:val="24"/>
                <w:szCs w:val="24"/>
              </w:rPr>
              <w:t>0.5020</w:t>
            </w:r>
          </w:p>
        </w:tc>
      </w:tr>
      <w:tr w:rsidR="000B5092" w14:paraId="277470AE" w14:textId="77777777" w:rsidTr="00D60757">
        <w:trPr>
          <w:trHeight w:val="220"/>
          <w:jc w:val="center"/>
        </w:trPr>
        <w:tc>
          <w:tcPr>
            <w:tcW w:w="1920" w:type="dxa"/>
          </w:tcPr>
          <w:p w14:paraId="7CA412D4" w14:textId="77777777" w:rsidR="00B73410" w:rsidRPr="0091708F" w:rsidRDefault="00BC2F61" w:rsidP="00B73410">
            <w:pPr>
              <w:spacing w:line="360" w:lineRule="auto"/>
              <w:jc w:val="center"/>
              <w:rPr>
                <w:sz w:val="24"/>
                <w:szCs w:val="24"/>
              </w:rPr>
            </w:pPr>
            <w:r>
              <w:rPr>
                <w:sz w:val="24"/>
                <w:szCs w:val="24"/>
              </w:rPr>
              <w:t>DPK (X</w:t>
            </w:r>
            <w:r>
              <w:rPr>
                <w:sz w:val="24"/>
                <w:szCs w:val="24"/>
                <w:vertAlign w:val="subscript"/>
              </w:rPr>
              <w:t>2</w:t>
            </w:r>
            <w:r>
              <w:rPr>
                <w:sz w:val="24"/>
                <w:szCs w:val="24"/>
              </w:rPr>
              <w:t>)</w:t>
            </w:r>
          </w:p>
        </w:tc>
        <w:tc>
          <w:tcPr>
            <w:tcW w:w="1199" w:type="dxa"/>
            <w:vAlign w:val="bottom"/>
          </w:tcPr>
          <w:p w14:paraId="3D73470D" w14:textId="77777777" w:rsidR="00B73410" w:rsidRPr="0091708F" w:rsidRDefault="00BC2F61" w:rsidP="00B73410">
            <w:pPr>
              <w:spacing w:line="360" w:lineRule="auto"/>
              <w:jc w:val="center"/>
              <w:rPr>
                <w:sz w:val="24"/>
                <w:szCs w:val="24"/>
              </w:rPr>
            </w:pPr>
            <w:r w:rsidRPr="0091708F">
              <w:rPr>
                <w:sz w:val="24"/>
                <w:szCs w:val="24"/>
              </w:rPr>
              <w:t>-0.001880</w:t>
            </w:r>
          </w:p>
        </w:tc>
        <w:tc>
          <w:tcPr>
            <w:tcW w:w="1150" w:type="dxa"/>
            <w:vAlign w:val="bottom"/>
          </w:tcPr>
          <w:p w14:paraId="0A799744" w14:textId="77777777" w:rsidR="00B73410" w:rsidRPr="0091708F" w:rsidRDefault="00BC2F61" w:rsidP="00B73410">
            <w:pPr>
              <w:spacing w:line="360" w:lineRule="auto"/>
              <w:jc w:val="center"/>
              <w:rPr>
                <w:sz w:val="24"/>
                <w:szCs w:val="24"/>
              </w:rPr>
            </w:pPr>
            <w:r w:rsidRPr="0091708F">
              <w:rPr>
                <w:sz w:val="24"/>
                <w:szCs w:val="24"/>
              </w:rPr>
              <w:t>0.003404</w:t>
            </w:r>
          </w:p>
        </w:tc>
        <w:tc>
          <w:tcPr>
            <w:tcW w:w="1150" w:type="dxa"/>
            <w:vAlign w:val="bottom"/>
          </w:tcPr>
          <w:p w14:paraId="75ACC180" w14:textId="77777777" w:rsidR="00B73410" w:rsidRPr="0091708F" w:rsidRDefault="00BC2F61" w:rsidP="00B73410">
            <w:pPr>
              <w:spacing w:line="360" w:lineRule="auto"/>
              <w:jc w:val="center"/>
              <w:rPr>
                <w:sz w:val="24"/>
                <w:szCs w:val="24"/>
              </w:rPr>
            </w:pPr>
            <w:r w:rsidRPr="0091708F">
              <w:rPr>
                <w:sz w:val="24"/>
                <w:szCs w:val="24"/>
              </w:rPr>
              <w:t>-0.552282</w:t>
            </w:r>
          </w:p>
        </w:tc>
        <w:tc>
          <w:tcPr>
            <w:tcW w:w="950" w:type="dxa"/>
            <w:vAlign w:val="bottom"/>
          </w:tcPr>
          <w:p w14:paraId="7F88355F" w14:textId="77777777" w:rsidR="00B73410" w:rsidRPr="0091708F" w:rsidRDefault="00BC2F61" w:rsidP="00B73410">
            <w:pPr>
              <w:spacing w:line="360" w:lineRule="auto"/>
              <w:jc w:val="center"/>
              <w:rPr>
                <w:sz w:val="24"/>
                <w:szCs w:val="24"/>
              </w:rPr>
            </w:pPr>
            <w:r w:rsidRPr="0091708F">
              <w:rPr>
                <w:sz w:val="24"/>
                <w:szCs w:val="24"/>
              </w:rPr>
              <w:t>0.5825</w:t>
            </w:r>
          </w:p>
        </w:tc>
      </w:tr>
      <w:tr w:rsidR="000B5092" w14:paraId="70BC66F6" w14:textId="77777777" w:rsidTr="00D60757">
        <w:trPr>
          <w:trHeight w:val="220"/>
          <w:jc w:val="center"/>
        </w:trPr>
        <w:tc>
          <w:tcPr>
            <w:tcW w:w="1920" w:type="dxa"/>
          </w:tcPr>
          <w:p w14:paraId="39137DBB" w14:textId="77777777" w:rsidR="00B73410" w:rsidRPr="0091708F" w:rsidRDefault="00BC2F61" w:rsidP="00B73410">
            <w:pPr>
              <w:spacing w:line="360" w:lineRule="auto"/>
              <w:jc w:val="center"/>
              <w:rPr>
                <w:sz w:val="24"/>
                <w:szCs w:val="24"/>
              </w:rPr>
            </w:pPr>
            <w:r>
              <w:rPr>
                <w:sz w:val="24"/>
                <w:szCs w:val="24"/>
              </w:rPr>
              <w:t>KD (X</w:t>
            </w:r>
            <w:r>
              <w:rPr>
                <w:sz w:val="24"/>
                <w:szCs w:val="24"/>
                <w:vertAlign w:val="subscript"/>
              </w:rPr>
              <w:t>3</w:t>
            </w:r>
            <w:r>
              <w:rPr>
                <w:sz w:val="24"/>
                <w:szCs w:val="24"/>
              </w:rPr>
              <w:t>)</w:t>
            </w:r>
          </w:p>
        </w:tc>
        <w:tc>
          <w:tcPr>
            <w:tcW w:w="1199" w:type="dxa"/>
            <w:vAlign w:val="bottom"/>
          </w:tcPr>
          <w:p w14:paraId="3BCB4374" w14:textId="77777777" w:rsidR="00B73410" w:rsidRPr="0091708F" w:rsidRDefault="00BC2F61" w:rsidP="00B73410">
            <w:pPr>
              <w:spacing w:line="360" w:lineRule="auto"/>
              <w:jc w:val="center"/>
              <w:rPr>
                <w:sz w:val="24"/>
                <w:szCs w:val="24"/>
              </w:rPr>
            </w:pPr>
            <w:r w:rsidRPr="0091708F">
              <w:rPr>
                <w:sz w:val="24"/>
                <w:szCs w:val="24"/>
              </w:rPr>
              <w:t>0.001138</w:t>
            </w:r>
          </w:p>
        </w:tc>
        <w:tc>
          <w:tcPr>
            <w:tcW w:w="1150" w:type="dxa"/>
            <w:vAlign w:val="bottom"/>
          </w:tcPr>
          <w:p w14:paraId="7FE78EC8" w14:textId="77777777" w:rsidR="00B73410" w:rsidRPr="0091708F" w:rsidRDefault="00BC2F61" w:rsidP="00B73410">
            <w:pPr>
              <w:spacing w:line="360" w:lineRule="auto"/>
              <w:jc w:val="center"/>
              <w:rPr>
                <w:sz w:val="24"/>
                <w:szCs w:val="24"/>
              </w:rPr>
            </w:pPr>
            <w:r w:rsidRPr="0091708F">
              <w:rPr>
                <w:sz w:val="24"/>
                <w:szCs w:val="24"/>
              </w:rPr>
              <w:t>0.002266</w:t>
            </w:r>
          </w:p>
        </w:tc>
        <w:tc>
          <w:tcPr>
            <w:tcW w:w="1150" w:type="dxa"/>
            <w:vAlign w:val="bottom"/>
          </w:tcPr>
          <w:p w14:paraId="715D8018" w14:textId="77777777" w:rsidR="00B73410" w:rsidRPr="0091708F" w:rsidRDefault="00BC2F61" w:rsidP="00B73410">
            <w:pPr>
              <w:spacing w:line="360" w:lineRule="auto"/>
              <w:jc w:val="center"/>
              <w:rPr>
                <w:sz w:val="24"/>
                <w:szCs w:val="24"/>
              </w:rPr>
            </w:pPr>
            <w:r w:rsidRPr="0091708F">
              <w:rPr>
                <w:sz w:val="24"/>
                <w:szCs w:val="24"/>
              </w:rPr>
              <w:t>0.502277</w:t>
            </w:r>
          </w:p>
        </w:tc>
        <w:tc>
          <w:tcPr>
            <w:tcW w:w="950" w:type="dxa"/>
            <w:vAlign w:val="bottom"/>
          </w:tcPr>
          <w:p w14:paraId="2B081939" w14:textId="77777777" w:rsidR="00B73410" w:rsidRPr="0091708F" w:rsidRDefault="00BC2F61" w:rsidP="00B73410">
            <w:pPr>
              <w:spacing w:line="360" w:lineRule="auto"/>
              <w:jc w:val="center"/>
              <w:rPr>
                <w:sz w:val="24"/>
                <w:szCs w:val="24"/>
              </w:rPr>
            </w:pPr>
            <w:r w:rsidRPr="0091708F">
              <w:rPr>
                <w:sz w:val="24"/>
                <w:szCs w:val="24"/>
              </w:rPr>
              <w:t>0.6170</w:t>
            </w:r>
          </w:p>
        </w:tc>
      </w:tr>
    </w:tbl>
    <w:p w14:paraId="06C6E19C" w14:textId="77777777" w:rsidR="00B73410" w:rsidRPr="00B73410" w:rsidRDefault="00B73410" w:rsidP="00B73410">
      <w:pPr>
        <w:jc w:val="center"/>
        <w:rPr>
          <w:sz w:val="24"/>
          <w:szCs w:val="24"/>
          <w:lang w:val="en-ID"/>
        </w:rPr>
      </w:pPr>
    </w:p>
    <w:p w14:paraId="16C9C310" w14:textId="77777777" w:rsidR="008D2463" w:rsidRPr="007E5A51" w:rsidRDefault="00BC2F61" w:rsidP="007E5A51">
      <w:pPr>
        <w:ind w:firstLine="567"/>
        <w:jc w:val="both"/>
        <w:rPr>
          <w:sz w:val="24"/>
          <w:szCs w:val="24"/>
          <w:lang w:val="en-ID"/>
        </w:rPr>
      </w:pPr>
      <w:r w:rsidRPr="007E5A51">
        <w:rPr>
          <w:sz w:val="24"/>
          <w:szCs w:val="24"/>
          <w:lang w:val="en-ID"/>
        </w:rPr>
        <w:t>Based on the results of the heteroscedasticity test using the Glejser model, the significance values for the SIZE variable are 0.5020, for DPK are 0.5825, and for KD are 0.6170. Since all of these values are more significant than 0.05, it can be concluded that the data does not exhibit heteroscedasticity. Therefore, the assumption of homoscedasticity is satisfied in the regression model used</w:t>
      </w:r>
      <w:r w:rsidR="00B73410" w:rsidRPr="00B73410">
        <w:rPr>
          <w:sz w:val="24"/>
          <w:szCs w:val="24"/>
        </w:rPr>
        <w:t>.</w:t>
      </w:r>
    </w:p>
    <w:p w14:paraId="554D08CA" w14:textId="77777777" w:rsidR="008D2463" w:rsidRPr="00F23B88" w:rsidRDefault="008D2463" w:rsidP="008D2463">
      <w:pPr>
        <w:jc w:val="both"/>
        <w:rPr>
          <w:sz w:val="20"/>
          <w:szCs w:val="20"/>
        </w:rPr>
      </w:pPr>
    </w:p>
    <w:p w14:paraId="07570E45" w14:textId="77777777" w:rsidR="008D2463" w:rsidRPr="00B73410" w:rsidRDefault="00BC2F61" w:rsidP="008D2463">
      <w:pPr>
        <w:jc w:val="both"/>
        <w:rPr>
          <w:b/>
          <w:bCs/>
          <w:sz w:val="24"/>
          <w:szCs w:val="24"/>
        </w:rPr>
      </w:pPr>
      <w:r w:rsidRPr="007C1B52">
        <w:rPr>
          <w:b/>
          <w:bCs/>
          <w:sz w:val="24"/>
          <w:szCs w:val="24"/>
        </w:rPr>
        <w:t>Hypothesis Test</w:t>
      </w:r>
    </w:p>
    <w:p w14:paraId="31CB1B39" w14:textId="77777777" w:rsidR="008D2463" w:rsidRPr="00B73410" w:rsidRDefault="00BC2F61" w:rsidP="00B73410">
      <w:pPr>
        <w:ind w:firstLine="567"/>
        <w:jc w:val="both"/>
        <w:rPr>
          <w:sz w:val="24"/>
          <w:szCs w:val="24"/>
        </w:rPr>
      </w:pPr>
      <w:r w:rsidRPr="007E5A51">
        <w:rPr>
          <w:sz w:val="24"/>
          <w:szCs w:val="24"/>
        </w:rPr>
        <w:t>The next step after going through the classic assumption test is to carry out a hypothesis test with the following results</w:t>
      </w:r>
      <w:r w:rsidR="00B73410" w:rsidRPr="00B73410">
        <w:rPr>
          <w:sz w:val="24"/>
          <w:szCs w:val="24"/>
        </w:rPr>
        <w:t>.</w:t>
      </w:r>
    </w:p>
    <w:p w14:paraId="3DF1A7EF" w14:textId="77777777" w:rsidR="0042600E" w:rsidRDefault="0042600E" w:rsidP="00893346">
      <w:pPr>
        <w:jc w:val="both"/>
        <w:rPr>
          <w:b/>
          <w:sz w:val="24"/>
          <w:szCs w:val="24"/>
        </w:rPr>
      </w:pPr>
    </w:p>
    <w:p w14:paraId="57E02F59" w14:textId="45433268" w:rsidR="00893346" w:rsidRPr="001160DA" w:rsidRDefault="00BC2F61" w:rsidP="00893346">
      <w:pPr>
        <w:jc w:val="both"/>
        <w:rPr>
          <w:b/>
          <w:sz w:val="24"/>
          <w:szCs w:val="24"/>
        </w:rPr>
      </w:pPr>
      <w:r w:rsidRPr="007E5A51">
        <w:rPr>
          <w:b/>
          <w:sz w:val="24"/>
          <w:szCs w:val="24"/>
        </w:rPr>
        <w:t>The Effect of Size on Profitability</w:t>
      </w:r>
    </w:p>
    <w:p w14:paraId="4E855AC6" w14:textId="77777777" w:rsidR="001160DA" w:rsidRPr="001160DA" w:rsidRDefault="00BC2F61" w:rsidP="001160DA">
      <w:pPr>
        <w:ind w:firstLine="567"/>
        <w:jc w:val="both"/>
        <w:rPr>
          <w:bCs/>
          <w:sz w:val="24"/>
          <w:szCs w:val="24"/>
        </w:rPr>
      </w:pPr>
      <w:r w:rsidRPr="007E5A51">
        <w:rPr>
          <w:bCs/>
          <w:sz w:val="24"/>
          <w:szCs w:val="24"/>
        </w:rPr>
        <w:t>Based on the calculations in Table 8, Size has a probability value of 0.000 and a t-statistic of 4.4425. Size is proven to have a significant effect on profitability because the probability value (0.000) is less than 0.05. Therefore, H1 is accepted</w:t>
      </w:r>
      <w:r w:rsidRPr="001160DA">
        <w:rPr>
          <w:bCs/>
          <w:sz w:val="24"/>
          <w:szCs w:val="24"/>
        </w:rPr>
        <w:t>.</w:t>
      </w:r>
    </w:p>
    <w:p w14:paraId="561A8ED4" w14:textId="77777777" w:rsidR="0042600E" w:rsidRDefault="0042600E" w:rsidP="001160DA">
      <w:pPr>
        <w:jc w:val="both"/>
        <w:rPr>
          <w:b/>
          <w:sz w:val="24"/>
          <w:szCs w:val="24"/>
        </w:rPr>
      </w:pPr>
    </w:p>
    <w:p w14:paraId="6CF837EB" w14:textId="7AC441BB" w:rsidR="001160DA" w:rsidRPr="001160DA" w:rsidRDefault="00BC2F61" w:rsidP="001160DA">
      <w:pPr>
        <w:jc w:val="both"/>
        <w:rPr>
          <w:b/>
          <w:sz w:val="24"/>
          <w:szCs w:val="24"/>
        </w:rPr>
      </w:pPr>
      <w:r w:rsidRPr="007E5A51">
        <w:rPr>
          <w:b/>
          <w:sz w:val="24"/>
          <w:szCs w:val="24"/>
        </w:rPr>
        <w:t>The Effect of Third-Party Funds on Profitability</w:t>
      </w:r>
    </w:p>
    <w:p w14:paraId="098611FC" w14:textId="77777777" w:rsidR="001160DA" w:rsidRPr="001160DA" w:rsidRDefault="00BC2F61" w:rsidP="001160DA">
      <w:pPr>
        <w:ind w:firstLine="567"/>
        <w:jc w:val="both"/>
        <w:rPr>
          <w:bCs/>
          <w:sz w:val="24"/>
          <w:szCs w:val="24"/>
        </w:rPr>
      </w:pPr>
      <w:r w:rsidRPr="007E5A51">
        <w:rPr>
          <w:bCs/>
          <w:sz w:val="24"/>
          <w:szCs w:val="24"/>
        </w:rPr>
        <w:t>Based on the calculations in Table 8, DPK has a probability value of 0.037 and a t-statistic of 2.1178. DPK is proven to have a significant effect on profitability because the probability value (0.037) is less than 0.05. Therefore, H2 is accepted</w:t>
      </w:r>
      <w:r w:rsidRPr="001160DA">
        <w:rPr>
          <w:bCs/>
          <w:sz w:val="24"/>
          <w:szCs w:val="24"/>
        </w:rPr>
        <w:t>.</w:t>
      </w:r>
    </w:p>
    <w:p w14:paraId="44C261FC" w14:textId="77777777" w:rsidR="0042600E" w:rsidRDefault="0042600E" w:rsidP="001160DA">
      <w:pPr>
        <w:jc w:val="both"/>
        <w:rPr>
          <w:b/>
          <w:sz w:val="24"/>
          <w:szCs w:val="24"/>
        </w:rPr>
      </w:pPr>
      <w:bookmarkStart w:id="4" w:name="_Hlk184189516"/>
    </w:p>
    <w:p w14:paraId="776C9B54" w14:textId="53E64A6F" w:rsidR="001160DA" w:rsidRPr="001160DA" w:rsidRDefault="00BC2F61" w:rsidP="001160DA">
      <w:pPr>
        <w:jc w:val="both"/>
        <w:rPr>
          <w:b/>
          <w:sz w:val="24"/>
          <w:szCs w:val="24"/>
        </w:rPr>
      </w:pPr>
      <w:r w:rsidRPr="00B970F4">
        <w:rPr>
          <w:b/>
          <w:sz w:val="24"/>
          <w:szCs w:val="24"/>
        </w:rPr>
        <w:t>The Effect of Dividend Policy on Profitability</w:t>
      </w:r>
      <w:bookmarkEnd w:id="4"/>
    </w:p>
    <w:p w14:paraId="1C8FDADB" w14:textId="77777777" w:rsidR="001160DA" w:rsidRDefault="00BC2F61" w:rsidP="001160DA">
      <w:pPr>
        <w:ind w:firstLine="567"/>
        <w:jc w:val="both"/>
        <w:rPr>
          <w:bCs/>
          <w:sz w:val="24"/>
          <w:szCs w:val="24"/>
        </w:rPr>
      </w:pPr>
      <w:r w:rsidRPr="00B970F4">
        <w:rPr>
          <w:bCs/>
          <w:sz w:val="24"/>
          <w:szCs w:val="24"/>
        </w:rPr>
        <w:t xml:space="preserve">Based on the calculations in Table 8, Dividend Policy has a probability value of 0.655 and a t-statistic of 0.4489. Dividend Policy is not proven to have a significant effect on profitability because the probability value (0.655) is </w:t>
      </w:r>
      <w:r w:rsidR="00DD5BC2">
        <w:rPr>
          <w:bCs/>
          <w:sz w:val="24"/>
          <w:szCs w:val="24"/>
        </w:rPr>
        <w:t>more critical</w:t>
      </w:r>
      <w:r w:rsidRPr="00B970F4">
        <w:rPr>
          <w:bCs/>
          <w:sz w:val="24"/>
          <w:szCs w:val="24"/>
        </w:rPr>
        <w:t xml:space="preserve"> than 0.05. Therefore, H3 is rejected</w:t>
      </w:r>
      <w:r w:rsidRPr="001160DA">
        <w:rPr>
          <w:bCs/>
          <w:sz w:val="24"/>
          <w:szCs w:val="24"/>
        </w:rPr>
        <w:t>.</w:t>
      </w:r>
    </w:p>
    <w:p w14:paraId="55CBC86B" w14:textId="77777777" w:rsidR="001160DA" w:rsidRDefault="001160DA" w:rsidP="001160DA">
      <w:pPr>
        <w:jc w:val="both"/>
        <w:rPr>
          <w:bCs/>
          <w:sz w:val="24"/>
          <w:szCs w:val="24"/>
        </w:rPr>
      </w:pPr>
    </w:p>
    <w:p w14:paraId="05D487F1" w14:textId="77777777" w:rsidR="001160DA" w:rsidRPr="0098769F" w:rsidRDefault="00BC2F61" w:rsidP="001160DA">
      <w:pPr>
        <w:jc w:val="both"/>
        <w:rPr>
          <w:b/>
          <w:sz w:val="28"/>
          <w:szCs w:val="28"/>
        </w:rPr>
      </w:pPr>
      <w:r w:rsidRPr="00B970F4">
        <w:rPr>
          <w:b/>
          <w:sz w:val="28"/>
          <w:szCs w:val="28"/>
        </w:rPr>
        <w:t>Discussion</w:t>
      </w:r>
    </w:p>
    <w:p w14:paraId="456FDE93" w14:textId="77777777" w:rsidR="001160DA" w:rsidRDefault="00BC2F61" w:rsidP="001160DA">
      <w:pPr>
        <w:jc w:val="both"/>
        <w:rPr>
          <w:b/>
          <w:sz w:val="24"/>
          <w:szCs w:val="24"/>
        </w:rPr>
      </w:pPr>
      <w:r w:rsidRPr="00B970F4">
        <w:rPr>
          <w:b/>
          <w:sz w:val="24"/>
          <w:szCs w:val="24"/>
        </w:rPr>
        <w:t>The Effect of Company Size on Profitability</w:t>
      </w:r>
    </w:p>
    <w:p w14:paraId="6FBA85D1" w14:textId="77777777" w:rsidR="001160DA" w:rsidRDefault="00BC2F61" w:rsidP="001160DA">
      <w:pPr>
        <w:ind w:firstLine="567"/>
        <w:jc w:val="both"/>
        <w:rPr>
          <w:bCs/>
          <w:sz w:val="24"/>
          <w:szCs w:val="24"/>
        </w:rPr>
      </w:pPr>
      <w:r w:rsidRPr="00B970F4">
        <w:rPr>
          <w:bCs/>
          <w:sz w:val="24"/>
          <w:szCs w:val="24"/>
        </w:rPr>
        <w:t xml:space="preserve">The research findings indicate that Size (bank size) has a positive and significant effect on the profitability of Islamic banks in Asia. As the </w:t>
      </w:r>
      <w:r w:rsidR="00DD5BC2">
        <w:rPr>
          <w:bCs/>
          <w:sz w:val="24"/>
          <w:szCs w:val="24"/>
        </w:rPr>
        <w:t>size</w:t>
      </w:r>
      <w:r w:rsidRPr="00B970F4">
        <w:rPr>
          <w:bCs/>
          <w:sz w:val="24"/>
          <w:szCs w:val="24"/>
        </w:rPr>
        <w:t xml:space="preserve"> of the bank increases, its ability to generate profits improves. This is due to more substantial resources, a broad network, and the ability to attract customers and obtain funding at lower costs. Larger banks also have better product diversification, enabling them to serve various customer needs, improve operational efficiency, and generate higher profits</w:t>
      </w:r>
      <w:r w:rsidRPr="001160DA">
        <w:rPr>
          <w:bCs/>
          <w:sz w:val="24"/>
          <w:szCs w:val="24"/>
        </w:rPr>
        <w:t>.</w:t>
      </w:r>
    </w:p>
    <w:p w14:paraId="61AC89A7" w14:textId="3F8CEEFA" w:rsidR="001160DA" w:rsidRDefault="00BC2F61" w:rsidP="001160DA">
      <w:pPr>
        <w:ind w:firstLine="567"/>
        <w:jc w:val="both"/>
        <w:rPr>
          <w:sz w:val="24"/>
        </w:rPr>
      </w:pPr>
      <w:r w:rsidRPr="00B970F4">
        <w:rPr>
          <w:bCs/>
          <w:sz w:val="24"/>
          <w:szCs w:val="24"/>
        </w:rPr>
        <w:t xml:space="preserve">Additionally, large Islamic banks have better capabilities in risk absorption due to more significant capital reserves and well-established infrastructure. </w:t>
      </w:r>
      <w:r w:rsidR="001810AB">
        <w:rPr>
          <w:bCs/>
          <w:sz w:val="24"/>
          <w:szCs w:val="24"/>
        </w:rPr>
        <w:t>Their economies of scale</w:t>
      </w:r>
      <w:r w:rsidRPr="00B970F4">
        <w:rPr>
          <w:bCs/>
          <w:sz w:val="24"/>
          <w:szCs w:val="24"/>
        </w:rPr>
        <w:t xml:space="preserve"> allow for the reduction of average costs per transaction, thereby increasing profit margins. These findings underscore the importance of strategic expansion to support the profitability of Islamic banking in Asia while adhering to Islamic principles as the operational foundation. This result aligns with the studies of</w:t>
      </w:r>
      <w:r>
        <w:rPr>
          <w:bCs/>
          <w:sz w:val="24"/>
          <w:szCs w:val="24"/>
        </w:rPr>
        <w:t xml:space="preserve"> </w:t>
      </w:r>
      <w:r w:rsidRPr="00461C8E">
        <w:rPr>
          <w:sz w:val="24"/>
        </w:rPr>
        <w:fldChar w:fldCharType="begin" w:fldLock="1"/>
      </w:r>
      <w:r>
        <w:rPr>
          <w:sz w:val="24"/>
        </w:rPr>
        <w:instrText>ADDIN CSL_CITATION {"citationItems":[{"id":"ITEM-1","itemData":{"author":[{"dropping-particle":"","family":"Mei","given":"Vol No","non-dropping-particle":"","parse-names":false,"suffix":""},{"dropping-particle":"","family":"Periode","given":"Profitabilitas","non-dropping-particle":"","parse-names":false,"suffix":""},{"dropping-particle":"","family":"Anatasya","given":"Arifa","non-dropping-particle":"","parse-names":false,"suffix":""},{"dropping-particle":"","family":"Susilowati","given":"Endah","non-dropping-particle":"","parse-names":false,"suffix":""}],"id":"ITEM-1","issue":"1","issued":{"date-parts":[["2021"]]},"page":"271-281","title":"Pengaruh Bank Size , Nim , Dan Car Terhadap","type":"article-journal","volume":"1"},"uris":["http://www.mendeley.com/documents/?uuid=7b20fc66-4b67-489e-81a2-eda3e38a18a2","http://www.mendeley.com/documents/?uuid=73c95334-d97d-44a9-a7db-e418bb2ebd45"]},{"id":"ITEM-2","itemData":{"DOI":"10.24912/jpa.v1i2.4701","abstract":"This research aims to determine the effect of bank size, capital adequacy ratio, loan to deposit ratio, net interest margin and non performing loan toward the bank profitability. This research uses 33 samples of commercial banks that listed on The Indonesia Stock Exchange in the year of 2015-2017 with the multiple regression analysis technique  using Statistical Product and Service Solution for Windows released 21 (SPSS 21.0) and Microsoft Office Excel 2010. The results of T test indicate that bank size, loan to deposit ratio, net interest marginand non performing loan have a significant effect on bank profitability. Meanwhile, capital adequacy ratio has an insignificant effect on bank profitability. The results of F test indicate that all the variables in this research simultaneously have a significant effect on bank profitability.","author":[{"dropping-particle":"","family":"Liana Susanto","given":"Loraine Pertiwi,","non-dropping-particle":"","parse-names":false,"suffix":""}],"container-title":"Jurnal Paradigma Akuntansi","id":"ITEM-2","issue":"2","issued":{"date-parts":[["2019"]]},"page":"282","title":"Faktor Yang Mempengaruhi Profitabilitas Pada Perbankan Yang Terdaftar Di Bei","type":"article-journal","volume":"1"},"uris":["http://www.mendeley.com/documents/?uuid=f8834e5c-2695-4cb6-b13b-a261981f03a4","http://www.mendeley.com/documents/?uuid=3ad00d24-f96e-42a5-8b96-a78e5e4e1f32"]}],"mendeley":{"formattedCitation":"(Liana Susanto, 2019; Mei, Periode, Anatasya, and Susilowati, 2021)","manualFormatting":"Liana Susanto (2019); Mei et al. (2021)","plainTextFormattedCitation":"(Liana Susanto, 2019; Mei, Periode, Anatasya, and Susilowati, 2021)","previouslyFormattedCitation":"(Liana Susanto, 2019; Mei, Periode, Anatasya, and Susilowati, 2021)"},"properties":{"noteIndex":0},"schema":"https://github.com/citation-style-language/schema/raw/master/csl-citation.json"}</w:instrText>
      </w:r>
      <w:r w:rsidRPr="00461C8E">
        <w:rPr>
          <w:sz w:val="24"/>
        </w:rPr>
        <w:fldChar w:fldCharType="separate"/>
      </w:r>
      <w:r w:rsidRPr="00461C8E">
        <w:rPr>
          <w:noProof/>
          <w:sz w:val="24"/>
        </w:rPr>
        <w:t xml:space="preserve">Liana Susanto </w:t>
      </w:r>
      <w:r>
        <w:rPr>
          <w:noProof/>
          <w:sz w:val="24"/>
        </w:rPr>
        <w:t>(</w:t>
      </w:r>
      <w:r w:rsidRPr="00461C8E">
        <w:rPr>
          <w:noProof/>
          <w:sz w:val="24"/>
        </w:rPr>
        <w:t>2019</w:t>
      </w:r>
      <w:r>
        <w:rPr>
          <w:noProof/>
          <w:sz w:val="24"/>
        </w:rPr>
        <w:t>)</w:t>
      </w:r>
      <w:r w:rsidRPr="00461C8E">
        <w:rPr>
          <w:noProof/>
          <w:sz w:val="24"/>
        </w:rPr>
        <w:t xml:space="preserve"> and Mei et al. </w:t>
      </w:r>
      <w:r>
        <w:rPr>
          <w:noProof/>
          <w:sz w:val="24"/>
        </w:rPr>
        <w:t>(</w:t>
      </w:r>
      <w:r w:rsidRPr="00461C8E">
        <w:rPr>
          <w:noProof/>
          <w:sz w:val="24"/>
        </w:rPr>
        <w:t>2021)</w:t>
      </w:r>
      <w:r w:rsidRPr="00461C8E">
        <w:rPr>
          <w:sz w:val="24"/>
        </w:rPr>
        <w:fldChar w:fldCharType="end"/>
      </w:r>
      <w:r>
        <w:rPr>
          <w:sz w:val="24"/>
        </w:rPr>
        <w:t xml:space="preserve">, </w:t>
      </w:r>
      <w:r w:rsidRPr="00B970F4">
        <w:rPr>
          <w:sz w:val="24"/>
        </w:rPr>
        <w:t>which found that larger bank sizes positively impact profitability</w:t>
      </w:r>
      <w:r>
        <w:rPr>
          <w:sz w:val="24"/>
        </w:rPr>
        <w:t>.</w:t>
      </w:r>
    </w:p>
    <w:p w14:paraId="63A23C02" w14:textId="77777777" w:rsidR="00186D77" w:rsidRDefault="00186D77" w:rsidP="001160DA">
      <w:pPr>
        <w:jc w:val="both"/>
        <w:rPr>
          <w:b/>
          <w:sz w:val="24"/>
          <w:szCs w:val="24"/>
        </w:rPr>
      </w:pPr>
    </w:p>
    <w:p w14:paraId="3329A6B5" w14:textId="4B324C34" w:rsidR="001160DA" w:rsidRDefault="00BC2F61" w:rsidP="001160DA">
      <w:pPr>
        <w:jc w:val="both"/>
        <w:rPr>
          <w:b/>
          <w:sz w:val="24"/>
          <w:szCs w:val="24"/>
        </w:rPr>
      </w:pPr>
      <w:r w:rsidRPr="007E5A51">
        <w:rPr>
          <w:b/>
          <w:sz w:val="24"/>
          <w:szCs w:val="24"/>
        </w:rPr>
        <w:t>The Effect of Third-Party Funds on Profitability</w:t>
      </w:r>
    </w:p>
    <w:p w14:paraId="5FED3BD4" w14:textId="17E39237" w:rsidR="0098769F" w:rsidRPr="0098769F" w:rsidRDefault="00BC2F61" w:rsidP="0098769F">
      <w:pPr>
        <w:ind w:firstLine="567"/>
        <w:jc w:val="both"/>
        <w:rPr>
          <w:bCs/>
          <w:sz w:val="24"/>
          <w:szCs w:val="24"/>
        </w:rPr>
      </w:pPr>
      <w:r w:rsidRPr="00B970F4">
        <w:rPr>
          <w:bCs/>
          <w:sz w:val="24"/>
          <w:szCs w:val="24"/>
        </w:rPr>
        <w:t xml:space="preserve">The research findings indicate that Third-Party Funds (DPK) have a negative and significant impact on the profitability of Islamic banks in Asia. Although DPK </w:t>
      </w:r>
      <w:r w:rsidR="001810AB">
        <w:rPr>
          <w:bCs/>
          <w:sz w:val="24"/>
          <w:szCs w:val="24"/>
        </w:rPr>
        <w:t>is the primary funding source</w:t>
      </w:r>
      <w:r w:rsidRPr="00B970F4">
        <w:rPr>
          <w:bCs/>
          <w:sz w:val="24"/>
          <w:szCs w:val="24"/>
        </w:rPr>
        <w:t xml:space="preserve"> for Islamic banks, inefficient management can pressure profitability levels. This is due to the high cost of funds that must be paid to customers </w:t>
      </w:r>
      <w:r w:rsidR="001810AB">
        <w:rPr>
          <w:bCs/>
          <w:sz w:val="24"/>
          <w:szCs w:val="24"/>
        </w:rPr>
        <w:t>through</w:t>
      </w:r>
      <w:r w:rsidRPr="00B970F4">
        <w:rPr>
          <w:bCs/>
          <w:sz w:val="24"/>
          <w:szCs w:val="24"/>
        </w:rPr>
        <w:t xml:space="preserve"> profit-sharing, which reduces net profits. Additionally, challenges in allocating DPK financing to productive sectors that generate high returns also affect profit margins. The imbalance between fund collection and distribution can increase operational burdens and lower profitability</w:t>
      </w:r>
      <w:r w:rsidRPr="0098769F">
        <w:rPr>
          <w:bCs/>
          <w:sz w:val="24"/>
          <w:szCs w:val="24"/>
        </w:rPr>
        <w:t>.</w:t>
      </w:r>
    </w:p>
    <w:p w14:paraId="2B1D1832" w14:textId="022E6E5C" w:rsidR="001160DA" w:rsidRPr="001160DA" w:rsidRDefault="00BC2F61" w:rsidP="0098769F">
      <w:pPr>
        <w:ind w:firstLine="567"/>
        <w:jc w:val="both"/>
        <w:rPr>
          <w:bCs/>
          <w:sz w:val="24"/>
          <w:szCs w:val="24"/>
        </w:rPr>
      </w:pPr>
      <w:r w:rsidRPr="00B970F4">
        <w:rPr>
          <w:bCs/>
          <w:sz w:val="24"/>
          <w:szCs w:val="24"/>
        </w:rPr>
        <w:lastRenderedPageBreak/>
        <w:t>Intense competition with other banks, both Islamic and conventional, further adds pressure to the profit margins of Islamic banks. Customers often demand competitive returns, while Sharia principles limit the investment diversification of Islamic banks. To address these challenges, Islamic banks need to enhance the efficiency of managing DPK through more innovative strategies, such as leveraging financial technology (fintech) and strengthening investments in the real sector. With customer education on sustainable profit-sharing schemes and careful risk management, the negative impact of DPK on profitability can be minimized. These findings are consistent with the research of</w:t>
      </w:r>
      <w:r w:rsidR="0098769F">
        <w:rPr>
          <w:bCs/>
          <w:sz w:val="24"/>
          <w:szCs w:val="24"/>
        </w:rPr>
        <w:t xml:space="preserve"> </w:t>
      </w:r>
      <w:r w:rsidR="0098769F" w:rsidRPr="00461C8E">
        <w:rPr>
          <w:sz w:val="24"/>
        </w:rPr>
        <w:fldChar w:fldCharType="begin" w:fldLock="1"/>
      </w:r>
      <w:r w:rsidR="0098769F">
        <w:rPr>
          <w:sz w:val="24"/>
        </w:rPr>
        <w:instrText>ADDIN CSL_CITATION {"citationItems":[{"id":"ITEM-1","itemData":{"DOI":"10.36406/jam.v17i02.328","ISSN":"1693-8364","abstract":"Penelitian ini bertujuan untuk meneliti apakah terdapat pengaruh dari mekanisme Capital Adequacy Ratio, Dana Pihak Ketiga, Non Performing Financing dan Pembiayaan Murabahah terhadap profitabilitas pada Bank Umum Syariah yang terdaftar di Otoritas Jasa Keuangan pada peiode 2012-2016 dengan jumlah sampel sebanyak 55 bank Syariah.Teknik pengumpulan data menggunakan metode dokumentasi pada situs resmi perbankan syariah. Hasil penelitian menunjukan capital adequacy ratio dan dana pihak ketiga berpengaruh terhadap profitabilitas, namun  non performing financing dan pembiayaan murabahah tidak berpengaruh terhadap profitabilitas. Secara simultan  capital adequacy ratio, dana pihak ketiga, non performing financing dan pembiayaan murabahah  berpengaruh terhadap profitabilitas.","author":[{"dropping-particle":"","family":"Ardheta","given":"Preztika Ayu","non-dropping-particle":"","parse-names":false,"suffix":""},{"dropping-particle":"","family":"Sina","given":"Helda Rahmi","non-dropping-particle":"","parse-names":false,"suffix":""}],"container-title":"Jurnal Akuntansi dan Manajemen","id":"ITEM-1","issue":"02","issued":{"date-parts":[["2020"]]},"page":"32-38","title":"Pengaruh Capital Adequacy Ratio, Dana Pihak Ketiga, Non Performing Financing dan Pembiayaan Murabahah Terhadap Profitabilitas","type":"article-journal","volume":"17"},"uris":["http://www.mendeley.com/documents/?uuid=1434e68e-9d73-4b60-880c-8d0904572d43","http://www.mendeley.com/documents/?uuid=50f5b9f4-76fa-4db0-aed7-ba0ef832ac11"]}],"mendeley":{"formattedCitation":"(Ardheta and Sina, 2020)","manualFormatting":"Ardheta &amp; Sina (2020)","plainTextFormattedCitation":"(Ardheta and Sina, 2020)","previouslyFormattedCitation":"(Ardheta and Sina, 2020)"},"properties":{"noteIndex":0},"schema":"https://github.com/citation-style-language/schema/raw/master/csl-citation.json"}</w:instrText>
      </w:r>
      <w:r w:rsidR="0098769F" w:rsidRPr="00461C8E">
        <w:rPr>
          <w:sz w:val="24"/>
        </w:rPr>
        <w:fldChar w:fldCharType="separate"/>
      </w:r>
      <w:r w:rsidR="0098769F" w:rsidRPr="00461C8E">
        <w:rPr>
          <w:noProof/>
          <w:sz w:val="24"/>
        </w:rPr>
        <w:t xml:space="preserve">Ardheta and Sina </w:t>
      </w:r>
      <w:r w:rsidR="0098769F">
        <w:rPr>
          <w:noProof/>
          <w:sz w:val="24"/>
        </w:rPr>
        <w:t>(</w:t>
      </w:r>
      <w:r w:rsidR="0098769F" w:rsidRPr="00461C8E">
        <w:rPr>
          <w:noProof/>
          <w:sz w:val="24"/>
        </w:rPr>
        <w:t>2020)</w:t>
      </w:r>
      <w:r w:rsidR="0098769F" w:rsidRPr="00461C8E">
        <w:rPr>
          <w:sz w:val="24"/>
        </w:rPr>
        <w:fldChar w:fldCharType="end"/>
      </w:r>
      <w:r w:rsidR="0098769F">
        <w:rPr>
          <w:sz w:val="24"/>
        </w:rPr>
        <w:t xml:space="preserve">, </w:t>
      </w:r>
      <w:r w:rsidRPr="00B970F4">
        <w:rPr>
          <w:sz w:val="24"/>
        </w:rPr>
        <w:t xml:space="preserve">which found that DPK </w:t>
      </w:r>
      <w:r w:rsidR="00CC7019">
        <w:rPr>
          <w:sz w:val="24"/>
        </w:rPr>
        <w:t>hurts</w:t>
      </w:r>
      <w:r w:rsidRPr="00B970F4">
        <w:rPr>
          <w:sz w:val="24"/>
        </w:rPr>
        <w:t xml:space="preserve"> profitability</w:t>
      </w:r>
      <w:r>
        <w:rPr>
          <w:sz w:val="24"/>
        </w:rPr>
        <w:t>.</w:t>
      </w:r>
    </w:p>
    <w:p w14:paraId="63D706F2" w14:textId="77777777" w:rsidR="00186D77" w:rsidRDefault="00186D77" w:rsidP="0098769F">
      <w:pPr>
        <w:jc w:val="both"/>
        <w:rPr>
          <w:b/>
          <w:sz w:val="24"/>
          <w:szCs w:val="24"/>
        </w:rPr>
      </w:pPr>
    </w:p>
    <w:p w14:paraId="16360A63" w14:textId="63FFB531" w:rsidR="0098769F" w:rsidRDefault="00BC2F61" w:rsidP="0098769F">
      <w:pPr>
        <w:jc w:val="both"/>
        <w:rPr>
          <w:b/>
          <w:sz w:val="24"/>
          <w:szCs w:val="24"/>
        </w:rPr>
      </w:pPr>
      <w:r w:rsidRPr="00B970F4">
        <w:rPr>
          <w:b/>
          <w:sz w:val="24"/>
          <w:szCs w:val="24"/>
        </w:rPr>
        <w:t>The Effect of Dividend Policy on Profitability</w:t>
      </w:r>
    </w:p>
    <w:p w14:paraId="323931BC" w14:textId="77777777" w:rsidR="0098769F" w:rsidRPr="0098769F" w:rsidRDefault="00BC2F61" w:rsidP="00B970F4">
      <w:pPr>
        <w:ind w:firstLine="567"/>
        <w:jc w:val="both"/>
        <w:rPr>
          <w:bCs/>
          <w:sz w:val="24"/>
          <w:szCs w:val="24"/>
        </w:rPr>
      </w:pPr>
      <w:r w:rsidRPr="00B970F4">
        <w:rPr>
          <w:bCs/>
          <w:sz w:val="24"/>
          <w:szCs w:val="24"/>
        </w:rPr>
        <w:t>The research findings indicate that dividend policy does not have a significant impact on the profitability of Islamic banks in Asia. This suggests that the Size of dividends distributed by Islamic banks to shareholders is not directly correlated with the bank's ability to generate profits. The primary focus of Islamic banks is on business sustainability, strengthening capital, and operational expansion rather than providing immediate returns to shareholders</w:t>
      </w:r>
      <w:r w:rsidRPr="0098769F">
        <w:rPr>
          <w:bCs/>
          <w:sz w:val="24"/>
          <w:szCs w:val="24"/>
        </w:rPr>
        <w:t>.</w:t>
      </w:r>
    </w:p>
    <w:p w14:paraId="5735D4DC" w14:textId="77777777" w:rsidR="001160DA" w:rsidRDefault="00BC2F61" w:rsidP="0098769F">
      <w:pPr>
        <w:ind w:firstLine="567"/>
        <w:jc w:val="both"/>
        <w:rPr>
          <w:bCs/>
          <w:sz w:val="24"/>
          <w:szCs w:val="24"/>
        </w:rPr>
      </w:pPr>
      <w:r w:rsidRPr="00B970F4">
        <w:rPr>
          <w:bCs/>
          <w:sz w:val="24"/>
          <w:szCs w:val="24"/>
        </w:rPr>
        <w:t>Islamic banking also possesses unique characteristics, such as adherence to Sharia principles that emphasize balance and fairness. Their dividend policies tend to prioritize long-term stability, supporting Sharia-compliant projects, and maintaining market competitiveness rather than merely maximizing profit distribution. Therefore, the profitability of Islamic banks is more influenced by other factors, such as operational efficiency, risk management, and financing strategies. These findings confirm that dividend policy is not the primary benchmark for financial success in Islamic banks but rather part of a long-term strategy to support sustainable growth.</w:t>
      </w:r>
    </w:p>
    <w:p w14:paraId="4733D469" w14:textId="77777777" w:rsidR="0098769F" w:rsidRPr="0098769F" w:rsidRDefault="0098769F" w:rsidP="0098769F">
      <w:pPr>
        <w:ind w:firstLine="567"/>
        <w:jc w:val="both"/>
        <w:rPr>
          <w:bCs/>
          <w:sz w:val="24"/>
          <w:szCs w:val="24"/>
        </w:rPr>
      </w:pPr>
    </w:p>
    <w:p w14:paraId="2A68ADD7" w14:textId="77777777" w:rsidR="00E43FDB" w:rsidRDefault="00BC2F61" w:rsidP="00E43FDB">
      <w:pPr>
        <w:spacing w:line="286" w:lineRule="auto"/>
        <w:jc w:val="both"/>
        <w:rPr>
          <w:b/>
          <w:sz w:val="28"/>
          <w:szCs w:val="28"/>
        </w:rPr>
      </w:pPr>
      <w:r>
        <w:rPr>
          <w:b/>
          <w:sz w:val="28"/>
          <w:szCs w:val="28"/>
        </w:rPr>
        <w:t>Conclusion</w:t>
      </w:r>
    </w:p>
    <w:p w14:paraId="0CE1E7F3" w14:textId="741E9B5B" w:rsidR="0098769F" w:rsidRDefault="00BC2F61" w:rsidP="00B970F4">
      <w:pPr>
        <w:ind w:firstLine="567"/>
        <w:contextualSpacing/>
        <w:jc w:val="both"/>
        <w:rPr>
          <w:sz w:val="24"/>
          <w:szCs w:val="24"/>
          <w:lang w:val="en-ID"/>
        </w:rPr>
      </w:pPr>
      <w:r w:rsidRPr="00B970F4">
        <w:rPr>
          <w:sz w:val="24"/>
          <w:szCs w:val="24"/>
          <w:lang w:val="en-ID"/>
        </w:rPr>
        <w:t xml:space="preserve">This research provides a deep understanding of the factors influencing the profitability of Islamic banks in Asia. Based on the analysis results, bank size has a positive and significant impact on profitability, highlighting the importance of economies of scale in improving efficiency and profit margins. In contrast, third-party funds have </w:t>
      </w:r>
      <w:r w:rsidR="00CC7019">
        <w:rPr>
          <w:sz w:val="24"/>
          <w:szCs w:val="24"/>
          <w:lang w:val="en-ID"/>
        </w:rPr>
        <w:t>adverse and essential effects</w:t>
      </w:r>
      <w:r w:rsidRPr="00B970F4">
        <w:rPr>
          <w:sz w:val="24"/>
          <w:szCs w:val="24"/>
          <w:lang w:val="en-ID"/>
        </w:rPr>
        <w:t xml:space="preserve">, indicating the need for more effective liquidity management to optimize </w:t>
      </w:r>
      <w:r w:rsidRPr="00B970F4">
        <w:rPr>
          <w:sz w:val="24"/>
          <w:szCs w:val="24"/>
        </w:rPr>
        <w:t>third-party funds</w:t>
      </w:r>
      <w:r w:rsidRPr="00B970F4">
        <w:rPr>
          <w:sz w:val="24"/>
          <w:szCs w:val="24"/>
          <w:lang w:val="en-ID"/>
        </w:rPr>
        <w:t>' contribution to the bank's profits. Meanwhile, dividend policy was found to have no significant impact, reflecting Islamic banks' focus on long-term business development and sustainability rather than immediate profit distribution to shareholders.</w:t>
      </w:r>
    </w:p>
    <w:p w14:paraId="518C1CC2" w14:textId="77777777" w:rsidR="0098769F" w:rsidRPr="0098769F" w:rsidRDefault="00BC2F61" w:rsidP="0098769F">
      <w:pPr>
        <w:ind w:firstLine="567"/>
        <w:contextualSpacing/>
        <w:jc w:val="both"/>
        <w:rPr>
          <w:sz w:val="24"/>
          <w:szCs w:val="24"/>
          <w:lang w:val="en-ID"/>
        </w:rPr>
      </w:pPr>
      <w:r w:rsidRPr="00B970F4">
        <w:rPr>
          <w:sz w:val="24"/>
          <w:szCs w:val="24"/>
        </w:rPr>
        <w:t>Theoretically, these findings enrich the literature on the profitability of Islamic banks, particularly in the Asian regional context, with its unique economic and cultural characteristics. This study also highlights the importance of considering internal factors such as operational efficiency and risk management in similar research. Practically, the results offer implications for policymakers and Islamic bank management to strengthen their fund management strategies, enhance economies of scale, and prioritize the allocation of productive resources. With this approach, Islamic banks can continue to grow while adhering to the principles of Sharia in their operations.</w:t>
      </w:r>
    </w:p>
    <w:p w14:paraId="07382342" w14:textId="77777777" w:rsidR="00E43FDB" w:rsidRDefault="00E43FDB" w:rsidP="00E43FDB">
      <w:pPr>
        <w:contextualSpacing/>
        <w:jc w:val="both"/>
        <w:rPr>
          <w:sz w:val="24"/>
          <w:szCs w:val="24"/>
        </w:rPr>
      </w:pPr>
    </w:p>
    <w:p w14:paraId="0FAD5A38" w14:textId="77777777" w:rsidR="00B970F4" w:rsidRDefault="00B970F4" w:rsidP="00E43FDB">
      <w:pPr>
        <w:contextualSpacing/>
        <w:jc w:val="both"/>
        <w:rPr>
          <w:sz w:val="24"/>
          <w:szCs w:val="24"/>
        </w:rPr>
      </w:pPr>
    </w:p>
    <w:p w14:paraId="086AD583" w14:textId="77777777" w:rsidR="00B970F4" w:rsidRDefault="00B970F4" w:rsidP="00E43FDB">
      <w:pPr>
        <w:contextualSpacing/>
        <w:jc w:val="both"/>
        <w:rPr>
          <w:sz w:val="24"/>
          <w:szCs w:val="24"/>
        </w:rPr>
      </w:pPr>
    </w:p>
    <w:p w14:paraId="20861C56" w14:textId="77777777" w:rsidR="00E43FDB" w:rsidRPr="000958B3" w:rsidRDefault="00BC2F61" w:rsidP="00E43FDB">
      <w:pPr>
        <w:contextualSpacing/>
        <w:jc w:val="both"/>
        <w:rPr>
          <w:b/>
          <w:bCs/>
          <w:sz w:val="28"/>
          <w:szCs w:val="28"/>
        </w:rPr>
      </w:pPr>
      <w:r>
        <w:rPr>
          <w:b/>
          <w:bCs/>
          <w:sz w:val="28"/>
          <w:szCs w:val="28"/>
        </w:rPr>
        <w:t>References</w:t>
      </w:r>
    </w:p>
    <w:p w14:paraId="53F9CEB5" w14:textId="77777777" w:rsidR="0098769F" w:rsidRPr="0098769F" w:rsidRDefault="00BC2F61" w:rsidP="0098769F">
      <w:pPr>
        <w:adjustRightInd w:val="0"/>
        <w:ind w:left="480" w:hanging="480"/>
        <w:jc w:val="both"/>
        <w:rPr>
          <w:noProof/>
          <w:sz w:val="24"/>
          <w:szCs w:val="24"/>
        </w:rPr>
      </w:pPr>
      <w:r>
        <w:rPr>
          <w:color w:val="000000"/>
          <w:sz w:val="24"/>
          <w:szCs w:val="24"/>
        </w:rPr>
        <w:fldChar w:fldCharType="begin" w:fldLock="1"/>
      </w:r>
      <w:r>
        <w:rPr>
          <w:color w:val="000000"/>
          <w:sz w:val="24"/>
          <w:szCs w:val="24"/>
        </w:rPr>
        <w:instrText xml:space="preserve">ADDIN Mendeley Bibliography CSL_BIBLIOGRAPHY </w:instrText>
      </w:r>
      <w:r>
        <w:rPr>
          <w:color w:val="000000"/>
          <w:sz w:val="24"/>
          <w:szCs w:val="24"/>
        </w:rPr>
        <w:fldChar w:fldCharType="separate"/>
      </w:r>
      <w:r w:rsidRPr="0098769F">
        <w:rPr>
          <w:noProof/>
          <w:sz w:val="24"/>
          <w:szCs w:val="24"/>
        </w:rPr>
        <w:t xml:space="preserve">Agustini, S. Y., and Fuadati, S. R. (2018). Pengaruh Rasio Keuangan Terhadap Kebijakan Dividen. </w:t>
      </w:r>
      <w:r w:rsidRPr="0098769F">
        <w:rPr>
          <w:i/>
          <w:iCs/>
          <w:noProof/>
          <w:sz w:val="24"/>
          <w:szCs w:val="24"/>
        </w:rPr>
        <w:t>Journal of Chemical Information and Modeling</w:t>
      </w:r>
      <w:r w:rsidRPr="0098769F">
        <w:rPr>
          <w:noProof/>
          <w:sz w:val="24"/>
          <w:szCs w:val="24"/>
        </w:rPr>
        <w:t xml:space="preserve">, </w:t>
      </w:r>
      <w:r w:rsidRPr="0098769F">
        <w:rPr>
          <w:i/>
          <w:iCs/>
          <w:noProof/>
          <w:sz w:val="24"/>
          <w:szCs w:val="24"/>
        </w:rPr>
        <w:t>53</w:t>
      </w:r>
      <w:r w:rsidRPr="0098769F">
        <w:rPr>
          <w:noProof/>
          <w:sz w:val="24"/>
          <w:szCs w:val="24"/>
        </w:rPr>
        <w:t>(9), 1689–1699.</w:t>
      </w:r>
    </w:p>
    <w:p w14:paraId="317BC9D3" w14:textId="2F251476" w:rsidR="0098769F" w:rsidRPr="0098769F" w:rsidRDefault="00BC2F61" w:rsidP="0098769F">
      <w:pPr>
        <w:adjustRightInd w:val="0"/>
        <w:ind w:left="480" w:hanging="480"/>
        <w:jc w:val="both"/>
        <w:rPr>
          <w:noProof/>
          <w:sz w:val="24"/>
          <w:szCs w:val="24"/>
        </w:rPr>
      </w:pPr>
      <w:r w:rsidRPr="0098769F">
        <w:rPr>
          <w:noProof/>
          <w:sz w:val="24"/>
          <w:szCs w:val="24"/>
        </w:rPr>
        <w:t xml:space="preserve">Ali, M. M., Hariyati, T., Pratiwi, M. Y., and Afifah, S. (2022). Metodologi Penelitian Kuantitatif dan Penerapannya dalam Penelitian. </w:t>
      </w:r>
      <w:r w:rsidRPr="0098769F">
        <w:rPr>
          <w:i/>
          <w:iCs/>
          <w:noProof/>
          <w:sz w:val="24"/>
          <w:szCs w:val="24"/>
        </w:rPr>
        <w:t xml:space="preserve">Education </w:t>
      </w:r>
      <w:r w:rsidR="007C73B8">
        <w:rPr>
          <w:i/>
          <w:iCs/>
          <w:noProof/>
          <w:sz w:val="24"/>
          <w:szCs w:val="24"/>
        </w:rPr>
        <w:t xml:space="preserve">Journal </w:t>
      </w:r>
      <w:r w:rsidRPr="0098769F">
        <w:rPr>
          <w:i/>
          <w:iCs/>
          <w:noProof/>
          <w:sz w:val="24"/>
          <w:szCs w:val="24"/>
        </w:rPr>
        <w:t>2022</w:t>
      </w:r>
      <w:r w:rsidRPr="0098769F">
        <w:rPr>
          <w:noProof/>
          <w:sz w:val="24"/>
          <w:szCs w:val="24"/>
        </w:rPr>
        <w:t xml:space="preserve">, </w:t>
      </w:r>
      <w:r w:rsidRPr="0098769F">
        <w:rPr>
          <w:i/>
          <w:iCs/>
          <w:noProof/>
          <w:sz w:val="24"/>
          <w:szCs w:val="24"/>
        </w:rPr>
        <w:t>2</w:t>
      </w:r>
      <w:r w:rsidRPr="0098769F">
        <w:rPr>
          <w:noProof/>
          <w:sz w:val="24"/>
          <w:szCs w:val="24"/>
        </w:rPr>
        <w:t>(2), 1–6.</w:t>
      </w:r>
    </w:p>
    <w:p w14:paraId="74FA75D9" w14:textId="77777777" w:rsidR="0098769F" w:rsidRPr="0098769F" w:rsidRDefault="00BC2F61" w:rsidP="0098769F">
      <w:pPr>
        <w:adjustRightInd w:val="0"/>
        <w:ind w:left="480" w:hanging="480"/>
        <w:jc w:val="both"/>
        <w:rPr>
          <w:noProof/>
          <w:sz w:val="24"/>
          <w:szCs w:val="24"/>
        </w:rPr>
      </w:pPr>
      <w:r w:rsidRPr="0098769F">
        <w:rPr>
          <w:noProof/>
          <w:sz w:val="24"/>
          <w:szCs w:val="24"/>
        </w:rPr>
        <w:t xml:space="preserve">Ana, D. E., &amp; Zunaidi, A. (2022). Strategi Perbankan Syariah Dalam Memenangkan Persaingan Di Masa Pandemi Covid-19. </w:t>
      </w:r>
      <w:r w:rsidRPr="0098769F">
        <w:rPr>
          <w:i/>
          <w:iCs/>
          <w:noProof/>
          <w:sz w:val="24"/>
          <w:szCs w:val="24"/>
        </w:rPr>
        <w:t>Proceedings of Islamic Economics, Business, and Philanthropy</w:t>
      </w:r>
      <w:r w:rsidRPr="0098769F">
        <w:rPr>
          <w:noProof/>
          <w:sz w:val="24"/>
          <w:szCs w:val="24"/>
        </w:rPr>
        <w:t xml:space="preserve">, </w:t>
      </w:r>
      <w:r w:rsidRPr="0098769F">
        <w:rPr>
          <w:i/>
          <w:iCs/>
          <w:noProof/>
          <w:sz w:val="24"/>
          <w:szCs w:val="24"/>
        </w:rPr>
        <w:t>1</w:t>
      </w:r>
      <w:r w:rsidRPr="0098769F">
        <w:rPr>
          <w:noProof/>
          <w:sz w:val="24"/>
          <w:szCs w:val="24"/>
        </w:rPr>
        <w:t>(1), 167–188.</w:t>
      </w:r>
    </w:p>
    <w:p w14:paraId="4787E9A3" w14:textId="77777777" w:rsidR="0098769F" w:rsidRPr="0098769F" w:rsidRDefault="00BC2F61" w:rsidP="0098769F">
      <w:pPr>
        <w:adjustRightInd w:val="0"/>
        <w:ind w:left="480" w:hanging="480"/>
        <w:jc w:val="both"/>
        <w:rPr>
          <w:noProof/>
          <w:sz w:val="24"/>
          <w:szCs w:val="24"/>
        </w:rPr>
      </w:pPr>
      <w:r w:rsidRPr="0098769F">
        <w:rPr>
          <w:noProof/>
          <w:sz w:val="24"/>
          <w:szCs w:val="24"/>
        </w:rPr>
        <w:t xml:space="preserve">Ardheta, P. A., and Sina, H. R. (2020). Pengaruh Capital Adequacy Ratio, Dana Pihak Ketiga, Non Performing Financing dan Pembiayaan Murabahah Terhadap Profitabilitas. </w:t>
      </w:r>
      <w:r w:rsidRPr="0098769F">
        <w:rPr>
          <w:i/>
          <w:iCs/>
          <w:noProof/>
          <w:sz w:val="24"/>
          <w:szCs w:val="24"/>
        </w:rPr>
        <w:t>Jurnal Akuntansi Dan Manajemen</w:t>
      </w:r>
      <w:r w:rsidRPr="0098769F">
        <w:rPr>
          <w:noProof/>
          <w:sz w:val="24"/>
          <w:szCs w:val="24"/>
        </w:rPr>
        <w:t xml:space="preserve">, </w:t>
      </w:r>
      <w:r w:rsidRPr="0098769F">
        <w:rPr>
          <w:i/>
          <w:iCs/>
          <w:noProof/>
          <w:sz w:val="24"/>
          <w:szCs w:val="24"/>
        </w:rPr>
        <w:t>17</w:t>
      </w:r>
      <w:r w:rsidRPr="0098769F">
        <w:rPr>
          <w:noProof/>
          <w:sz w:val="24"/>
          <w:szCs w:val="24"/>
        </w:rPr>
        <w:t>(02), 32–38. https://doi.org/10.36406/jam.v17i02.328</w:t>
      </w:r>
    </w:p>
    <w:p w14:paraId="441AE9F5" w14:textId="77777777" w:rsidR="0098769F" w:rsidRPr="0098769F" w:rsidRDefault="00BC2F61" w:rsidP="0098769F">
      <w:pPr>
        <w:adjustRightInd w:val="0"/>
        <w:ind w:left="480" w:hanging="480"/>
        <w:jc w:val="both"/>
        <w:rPr>
          <w:noProof/>
          <w:sz w:val="24"/>
          <w:szCs w:val="24"/>
        </w:rPr>
      </w:pPr>
      <w:r w:rsidRPr="0098769F">
        <w:rPr>
          <w:noProof/>
          <w:sz w:val="24"/>
          <w:szCs w:val="24"/>
        </w:rPr>
        <w:t xml:space="preserve">Belianti, L., Ruhadi, R., and Setiawan, S. (2022). Pengaruh Indeks Maqashid Syariah dan Ukuran Perusahaan terhadap Profitabilitas. </w:t>
      </w:r>
      <w:r w:rsidRPr="0098769F">
        <w:rPr>
          <w:i/>
          <w:iCs/>
          <w:noProof/>
          <w:sz w:val="24"/>
          <w:szCs w:val="24"/>
        </w:rPr>
        <w:t>Indonesian Journal of Economics and Management</w:t>
      </w:r>
      <w:r w:rsidRPr="0098769F">
        <w:rPr>
          <w:noProof/>
          <w:sz w:val="24"/>
          <w:szCs w:val="24"/>
        </w:rPr>
        <w:t xml:space="preserve">, </w:t>
      </w:r>
      <w:r w:rsidRPr="0098769F">
        <w:rPr>
          <w:i/>
          <w:iCs/>
          <w:noProof/>
          <w:sz w:val="24"/>
          <w:szCs w:val="24"/>
        </w:rPr>
        <w:t>2</w:t>
      </w:r>
      <w:r w:rsidRPr="0098769F">
        <w:rPr>
          <w:noProof/>
          <w:sz w:val="24"/>
          <w:szCs w:val="24"/>
        </w:rPr>
        <w:t>(2), 441–451. https://doi.org/10.35313/ijem.v2i2.3692</w:t>
      </w:r>
    </w:p>
    <w:p w14:paraId="578E2A61" w14:textId="77777777" w:rsidR="0098769F" w:rsidRPr="0098769F" w:rsidRDefault="00BC2F61" w:rsidP="0098769F">
      <w:pPr>
        <w:adjustRightInd w:val="0"/>
        <w:ind w:left="480" w:hanging="480"/>
        <w:jc w:val="both"/>
        <w:rPr>
          <w:noProof/>
          <w:sz w:val="24"/>
          <w:szCs w:val="24"/>
        </w:rPr>
      </w:pPr>
      <w:r w:rsidRPr="0098769F">
        <w:rPr>
          <w:noProof/>
          <w:sz w:val="24"/>
          <w:szCs w:val="24"/>
        </w:rPr>
        <w:t xml:space="preserve">Budi Gautama Siregar. (2021). Dana Pihak Ketiga Pada Perbankan Syariah Di Indonesia. </w:t>
      </w:r>
      <w:r w:rsidRPr="0098769F">
        <w:rPr>
          <w:i/>
          <w:iCs/>
          <w:noProof/>
          <w:sz w:val="24"/>
          <w:szCs w:val="24"/>
        </w:rPr>
        <w:t>Jurnal Penelitian Ekonomi Akuntansi (JENSI)</w:t>
      </w:r>
      <w:r w:rsidRPr="0098769F">
        <w:rPr>
          <w:noProof/>
          <w:sz w:val="24"/>
          <w:szCs w:val="24"/>
        </w:rPr>
        <w:t xml:space="preserve">, </w:t>
      </w:r>
      <w:r w:rsidRPr="0098769F">
        <w:rPr>
          <w:i/>
          <w:iCs/>
          <w:noProof/>
          <w:sz w:val="24"/>
          <w:szCs w:val="24"/>
        </w:rPr>
        <w:t>5</w:t>
      </w:r>
      <w:r w:rsidRPr="0098769F">
        <w:rPr>
          <w:noProof/>
          <w:sz w:val="24"/>
          <w:szCs w:val="24"/>
        </w:rPr>
        <w:t>(2), 111–121. https://doi.org/10.33059/jensi.v5i2.3995</w:t>
      </w:r>
    </w:p>
    <w:p w14:paraId="03FCA4EE" w14:textId="77777777" w:rsidR="0098769F" w:rsidRPr="0098769F" w:rsidRDefault="00BC2F61" w:rsidP="0098769F">
      <w:pPr>
        <w:adjustRightInd w:val="0"/>
        <w:ind w:left="480" w:hanging="480"/>
        <w:jc w:val="both"/>
        <w:rPr>
          <w:noProof/>
          <w:sz w:val="24"/>
          <w:szCs w:val="24"/>
        </w:rPr>
      </w:pPr>
      <w:r w:rsidRPr="0098769F">
        <w:rPr>
          <w:noProof/>
          <w:sz w:val="24"/>
          <w:szCs w:val="24"/>
        </w:rPr>
        <w:t xml:space="preserve">Damayanti, A. C., and Mawardi, W. (2022). Pengaruh Ukuran Bank (Size), Loans to Deposit Ratio (LDR), Capital Adequacy Ratio (CAR), Non-Performing Loans (NPL), Diversifikasi Pendapatan, dan BOPO Terhadap Kinerja Bank di Indonesia (Studi Pada Bank Umum Konvensional yang Terdaftar di BEI Tahun 2016-. </w:t>
      </w:r>
      <w:r w:rsidRPr="0098769F">
        <w:rPr>
          <w:i/>
          <w:iCs/>
          <w:noProof/>
          <w:sz w:val="24"/>
          <w:szCs w:val="24"/>
        </w:rPr>
        <w:t>Diponegoro Journal of Management</w:t>
      </w:r>
      <w:r w:rsidRPr="0098769F">
        <w:rPr>
          <w:noProof/>
          <w:sz w:val="24"/>
          <w:szCs w:val="24"/>
        </w:rPr>
        <w:t xml:space="preserve">, </w:t>
      </w:r>
      <w:r w:rsidRPr="0098769F">
        <w:rPr>
          <w:i/>
          <w:iCs/>
          <w:noProof/>
          <w:sz w:val="24"/>
          <w:szCs w:val="24"/>
        </w:rPr>
        <w:t>11</w:t>
      </w:r>
      <w:r w:rsidRPr="0098769F">
        <w:rPr>
          <w:noProof/>
          <w:sz w:val="24"/>
          <w:szCs w:val="24"/>
        </w:rPr>
        <w:t>(1), 1–13.</w:t>
      </w:r>
    </w:p>
    <w:p w14:paraId="0E500233" w14:textId="77777777" w:rsidR="0098769F" w:rsidRPr="0098769F" w:rsidRDefault="00BC2F61" w:rsidP="0098769F">
      <w:pPr>
        <w:adjustRightInd w:val="0"/>
        <w:ind w:left="480" w:hanging="480"/>
        <w:jc w:val="both"/>
        <w:rPr>
          <w:noProof/>
          <w:sz w:val="24"/>
          <w:szCs w:val="24"/>
        </w:rPr>
      </w:pPr>
      <w:r w:rsidRPr="0098769F">
        <w:rPr>
          <w:noProof/>
          <w:sz w:val="24"/>
          <w:szCs w:val="24"/>
        </w:rPr>
        <w:t xml:space="preserve">Ghozali, M., Azmi, M. U., and Nugroho, W. (2019). Perkembangan Bank Syariah Di Asia Tenggara: Sebuah Kajian Historis. </w:t>
      </w:r>
      <w:r w:rsidRPr="0098769F">
        <w:rPr>
          <w:i/>
          <w:iCs/>
          <w:noProof/>
          <w:sz w:val="24"/>
          <w:szCs w:val="24"/>
        </w:rPr>
        <w:t>Falah: Jurnal Ekonomi Syariah</w:t>
      </w:r>
      <w:r w:rsidRPr="0098769F">
        <w:rPr>
          <w:noProof/>
          <w:sz w:val="24"/>
          <w:szCs w:val="24"/>
        </w:rPr>
        <w:t xml:space="preserve">, </w:t>
      </w:r>
      <w:r w:rsidRPr="0098769F">
        <w:rPr>
          <w:i/>
          <w:iCs/>
          <w:noProof/>
          <w:sz w:val="24"/>
          <w:szCs w:val="24"/>
        </w:rPr>
        <w:t>4</w:t>
      </w:r>
      <w:r w:rsidRPr="0098769F">
        <w:rPr>
          <w:noProof/>
          <w:sz w:val="24"/>
          <w:szCs w:val="24"/>
        </w:rPr>
        <w:t>(1), 44. https://doi.org/10.22219/jes.v4i1.8700</w:t>
      </w:r>
    </w:p>
    <w:p w14:paraId="2E7119CC" w14:textId="77777777" w:rsidR="0098769F" w:rsidRPr="0098769F" w:rsidRDefault="00BC2F61" w:rsidP="0098769F">
      <w:pPr>
        <w:adjustRightInd w:val="0"/>
        <w:ind w:left="480" w:hanging="480"/>
        <w:jc w:val="both"/>
        <w:rPr>
          <w:noProof/>
          <w:sz w:val="24"/>
          <w:szCs w:val="24"/>
        </w:rPr>
      </w:pPr>
      <w:r w:rsidRPr="0098769F">
        <w:rPr>
          <w:noProof/>
          <w:sz w:val="24"/>
          <w:szCs w:val="24"/>
        </w:rPr>
        <w:t xml:space="preserve">Hendari, S., Arifin, Z., Yulius, Y., and Hidayat, M. (2024). </w:t>
      </w:r>
      <w:r w:rsidRPr="0098769F">
        <w:rPr>
          <w:i/>
          <w:iCs/>
          <w:noProof/>
          <w:sz w:val="24"/>
          <w:szCs w:val="24"/>
        </w:rPr>
        <w:t>Penilaian Aspek Profitabilitas pada Bank yang Tercatat di Bursa Efek Indonesia Aspects of Profitability Determinants in Banking Listed on the Indonesia Stock Exchange</w:t>
      </w:r>
      <w:r w:rsidRPr="0098769F">
        <w:rPr>
          <w:noProof/>
          <w:sz w:val="24"/>
          <w:szCs w:val="24"/>
        </w:rPr>
        <w:t xml:space="preserve">. </w:t>
      </w:r>
      <w:r w:rsidRPr="0098769F">
        <w:rPr>
          <w:i/>
          <w:iCs/>
          <w:noProof/>
          <w:sz w:val="24"/>
          <w:szCs w:val="24"/>
        </w:rPr>
        <w:t>11</w:t>
      </w:r>
      <w:r w:rsidRPr="0098769F">
        <w:rPr>
          <w:noProof/>
          <w:sz w:val="24"/>
          <w:szCs w:val="24"/>
        </w:rPr>
        <w:t>, 23–36. https://doi.org/10.55963/jumpa.v11i1.604</w:t>
      </w:r>
    </w:p>
    <w:p w14:paraId="43F77496" w14:textId="77777777" w:rsidR="0098769F" w:rsidRPr="0098769F" w:rsidRDefault="00BC2F61" w:rsidP="0098769F">
      <w:pPr>
        <w:adjustRightInd w:val="0"/>
        <w:ind w:left="480" w:hanging="480"/>
        <w:jc w:val="both"/>
        <w:rPr>
          <w:noProof/>
          <w:sz w:val="24"/>
          <w:szCs w:val="24"/>
        </w:rPr>
      </w:pPr>
      <w:r w:rsidRPr="0098769F">
        <w:rPr>
          <w:noProof/>
          <w:sz w:val="24"/>
          <w:szCs w:val="24"/>
        </w:rPr>
        <w:t xml:space="preserve">Henny, L. A. (2017). Pengaruh Kebijakan Dividen, Leverage dan Pertumbuhan Penjualan Terhadap Profitabilitas Pada Masa yang Akan Datang. </w:t>
      </w:r>
      <w:r w:rsidRPr="0098769F">
        <w:rPr>
          <w:i/>
          <w:iCs/>
          <w:noProof/>
          <w:sz w:val="24"/>
          <w:szCs w:val="24"/>
        </w:rPr>
        <w:t>Jurnal Akuntansi AKUNESA</w:t>
      </w:r>
      <w:r w:rsidRPr="0098769F">
        <w:rPr>
          <w:noProof/>
          <w:sz w:val="24"/>
          <w:szCs w:val="24"/>
        </w:rPr>
        <w:t xml:space="preserve">, </w:t>
      </w:r>
      <w:r w:rsidRPr="0098769F">
        <w:rPr>
          <w:i/>
          <w:iCs/>
          <w:noProof/>
          <w:sz w:val="24"/>
          <w:szCs w:val="24"/>
        </w:rPr>
        <w:t>5</w:t>
      </w:r>
      <w:r w:rsidRPr="0098769F">
        <w:rPr>
          <w:noProof/>
          <w:sz w:val="24"/>
          <w:szCs w:val="24"/>
        </w:rPr>
        <w:t>(3), 43–68.</w:t>
      </w:r>
    </w:p>
    <w:p w14:paraId="0740714B" w14:textId="77777777" w:rsidR="0098769F" w:rsidRPr="0098769F" w:rsidRDefault="00BC2F61" w:rsidP="0098769F">
      <w:pPr>
        <w:adjustRightInd w:val="0"/>
        <w:ind w:left="480" w:hanging="480"/>
        <w:jc w:val="both"/>
        <w:rPr>
          <w:noProof/>
          <w:sz w:val="24"/>
          <w:szCs w:val="24"/>
        </w:rPr>
      </w:pPr>
      <w:r w:rsidRPr="0098769F">
        <w:rPr>
          <w:noProof/>
          <w:sz w:val="24"/>
          <w:szCs w:val="24"/>
        </w:rPr>
        <w:t xml:space="preserve">Hidayat, A., and Sunarsi, D. (2020). Faktor-Faktor Yang Mempengaruhi Dana Pihak Ketiga Dan Dampaknya Terhadap Profitabilitas. </w:t>
      </w:r>
      <w:r w:rsidRPr="0098769F">
        <w:rPr>
          <w:i/>
          <w:iCs/>
          <w:noProof/>
          <w:sz w:val="24"/>
          <w:szCs w:val="24"/>
        </w:rPr>
        <w:t>Jurnal Proaksi</w:t>
      </w:r>
      <w:r w:rsidRPr="0098769F">
        <w:rPr>
          <w:noProof/>
          <w:sz w:val="24"/>
          <w:szCs w:val="24"/>
        </w:rPr>
        <w:t xml:space="preserve">, </w:t>
      </w:r>
      <w:r w:rsidRPr="0098769F">
        <w:rPr>
          <w:i/>
          <w:iCs/>
          <w:noProof/>
          <w:sz w:val="24"/>
          <w:szCs w:val="24"/>
        </w:rPr>
        <w:t>1</w:t>
      </w:r>
      <w:r w:rsidRPr="0098769F">
        <w:rPr>
          <w:noProof/>
          <w:sz w:val="24"/>
          <w:szCs w:val="24"/>
        </w:rPr>
        <w:t>, 1–12.</w:t>
      </w:r>
    </w:p>
    <w:p w14:paraId="4E46F2B5" w14:textId="77777777" w:rsidR="0098769F" w:rsidRPr="0098769F" w:rsidRDefault="00BC2F61" w:rsidP="0098769F">
      <w:pPr>
        <w:adjustRightInd w:val="0"/>
        <w:ind w:left="480" w:hanging="480"/>
        <w:jc w:val="both"/>
        <w:rPr>
          <w:noProof/>
          <w:sz w:val="24"/>
          <w:szCs w:val="24"/>
        </w:rPr>
      </w:pPr>
      <w:r w:rsidRPr="0098769F">
        <w:rPr>
          <w:noProof/>
          <w:sz w:val="24"/>
          <w:szCs w:val="24"/>
        </w:rPr>
        <w:t xml:space="preserve">Islamiah, I. N., Nurnasrina, Salman, N. F. B., and Huda, N. (2024). Transformasi Digital Pada Perbankan Syariah Indonesia: Produk IT Dan Jenis Transaksi. </w:t>
      </w:r>
      <w:r w:rsidRPr="0098769F">
        <w:rPr>
          <w:i/>
          <w:iCs/>
          <w:noProof/>
          <w:sz w:val="24"/>
          <w:szCs w:val="24"/>
        </w:rPr>
        <w:t>Sharing: Journal Of Islamic Economics, Management, and Business</w:t>
      </w:r>
      <w:r w:rsidRPr="0098769F">
        <w:rPr>
          <w:noProof/>
          <w:sz w:val="24"/>
          <w:szCs w:val="24"/>
        </w:rPr>
        <w:t xml:space="preserve">, </w:t>
      </w:r>
      <w:r w:rsidRPr="0098769F">
        <w:rPr>
          <w:i/>
          <w:iCs/>
          <w:noProof/>
          <w:sz w:val="24"/>
          <w:szCs w:val="24"/>
        </w:rPr>
        <w:t>3</w:t>
      </w:r>
      <w:r w:rsidRPr="0098769F">
        <w:rPr>
          <w:noProof/>
          <w:sz w:val="24"/>
          <w:szCs w:val="24"/>
        </w:rPr>
        <w:t>(1), 91–104.</w:t>
      </w:r>
    </w:p>
    <w:p w14:paraId="12D9E6E5" w14:textId="77777777" w:rsidR="0098769F" w:rsidRPr="0098769F" w:rsidRDefault="00BC2F61" w:rsidP="0098769F">
      <w:pPr>
        <w:adjustRightInd w:val="0"/>
        <w:ind w:left="480" w:hanging="480"/>
        <w:jc w:val="both"/>
        <w:rPr>
          <w:noProof/>
          <w:sz w:val="24"/>
          <w:szCs w:val="24"/>
        </w:rPr>
      </w:pPr>
      <w:r w:rsidRPr="0098769F">
        <w:rPr>
          <w:noProof/>
          <w:sz w:val="24"/>
          <w:szCs w:val="24"/>
        </w:rPr>
        <w:t xml:space="preserve">Islamic finance development report. (2021). Islamic Finance Development Report 2021: Advancing economies. </w:t>
      </w:r>
      <w:r w:rsidRPr="0098769F">
        <w:rPr>
          <w:i/>
          <w:iCs/>
          <w:noProof/>
          <w:sz w:val="24"/>
          <w:szCs w:val="24"/>
        </w:rPr>
        <w:t>Refinitiv: An LSEG Business</w:t>
      </w:r>
      <w:r w:rsidRPr="0098769F">
        <w:rPr>
          <w:noProof/>
          <w:sz w:val="24"/>
          <w:szCs w:val="24"/>
        </w:rPr>
        <w:t>, 78.</w:t>
      </w:r>
    </w:p>
    <w:p w14:paraId="4C7B8A33" w14:textId="77777777" w:rsidR="0098769F" w:rsidRPr="0098769F" w:rsidRDefault="00BC2F61" w:rsidP="0098769F">
      <w:pPr>
        <w:adjustRightInd w:val="0"/>
        <w:ind w:left="480" w:hanging="480"/>
        <w:jc w:val="both"/>
        <w:rPr>
          <w:noProof/>
          <w:sz w:val="24"/>
          <w:szCs w:val="24"/>
        </w:rPr>
      </w:pPr>
      <w:r w:rsidRPr="0098769F">
        <w:rPr>
          <w:noProof/>
          <w:sz w:val="24"/>
          <w:szCs w:val="24"/>
        </w:rPr>
        <w:t xml:space="preserve">Liana Susanto, L. P. (2019). Faktor Yang Mempengaruhi Profitabilitas Pada </w:t>
      </w:r>
      <w:r w:rsidRPr="0098769F">
        <w:rPr>
          <w:noProof/>
          <w:sz w:val="24"/>
          <w:szCs w:val="24"/>
        </w:rPr>
        <w:lastRenderedPageBreak/>
        <w:t xml:space="preserve">Perbankan Yang Terdaftar Di Bei. </w:t>
      </w:r>
      <w:r w:rsidRPr="0098769F">
        <w:rPr>
          <w:i/>
          <w:iCs/>
          <w:noProof/>
          <w:sz w:val="24"/>
          <w:szCs w:val="24"/>
        </w:rPr>
        <w:t>Jurnal Paradigma Akuntansi</w:t>
      </w:r>
      <w:r w:rsidRPr="0098769F">
        <w:rPr>
          <w:noProof/>
          <w:sz w:val="24"/>
          <w:szCs w:val="24"/>
        </w:rPr>
        <w:t xml:space="preserve">, </w:t>
      </w:r>
      <w:r w:rsidRPr="0098769F">
        <w:rPr>
          <w:i/>
          <w:iCs/>
          <w:noProof/>
          <w:sz w:val="24"/>
          <w:szCs w:val="24"/>
        </w:rPr>
        <w:t>1</w:t>
      </w:r>
      <w:r w:rsidRPr="0098769F">
        <w:rPr>
          <w:noProof/>
          <w:sz w:val="24"/>
          <w:szCs w:val="24"/>
        </w:rPr>
        <w:t>(2), 282. https://doi.org/10.24912/jpa.v1i2.4701</w:t>
      </w:r>
    </w:p>
    <w:p w14:paraId="3A71AA68" w14:textId="77777777" w:rsidR="0098769F" w:rsidRPr="0098769F" w:rsidRDefault="00BC2F61" w:rsidP="0098769F">
      <w:pPr>
        <w:adjustRightInd w:val="0"/>
        <w:ind w:left="480" w:hanging="480"/>
        <w:jc w:val="both"/>
        <w:rPr>
          <w:noProof/>
          <w:sz w:val="24"/>
          <w:szCs w:val="24"/>
        </w:rPr>
      </w:pPr>
      <w:r w:rsidRPr="0098769F">
        <w:rPr>
          <w:noProof/>
          <w:sz w:val="24"/>
          <w:szCs w:val="24"/>
        </w:rPr>
        <w:t xml:space="preserve">Maula, I., and Jaya, T. J. (2022). Effect of Earning Asset Quality, Financial Leverage, and Company Size on Financial Performance of Sharia Commercial Banks. </w:t>
      </w:r>
      <w:r w:rsidRPr="0098769F">
        <w:rPr>
          <w:i/>
          <w:iCs/>
          <w:noProof/>
          <w:sz w:val="24"/>
          <w:szCs w:val="24"/>
        </w:rPr>
        <w:t>Jurnal Masharif Al-Syariah: Jurnal Ekonomi Dan Perbankan Syariah</w:t>
      </w:r>
      <w:r w:rsidRPr="0098769F">
        <w:rPr>
          <w:noProof/>
          <w:sz w:val="24"/>
          <w:szCs w:val="24"/>
        </w:rPr>
        <w:t xml:space="preserve">, </w:t>
      </w:r>
      <w:r w:rsidRPr="0098769F">
        <w:rPr>
          <w:i/>
          <w:iCs/>
          <w:noProof/>
          <w:sz w:val="24"/>
          <w:szCs w:val="24"/>
        </w:rPr>
        <w:t>7</w:t>
      </w:r>
      <w:r w:rsidRPr="0098769F">
        <w:rPr>
          <w:noProof/>
          <w:sz w:val="24"/>
          <w:szCs w:val="24"/>
        </w:rPr>
        <w:t>(2), 763–775.</w:t>
      </w:r>
    </w:p>
    <w:p w14:paraId="35A3367E" w14:textId="77777777" w:rsidR="0098769F" w:rsidRPr="0098769F" w:rsidRDefault="00BC2F61" w:rsidP="0098769F">
      <w:pPr>
        <w:adjustRightInd w:val="0"/>
        <w:ind w:left="480" w:hanging="480"/>
        <w:jc w:val="both"/>
        <w:rPr>
          <w:noProof/>
          <w:sz w:val="24"/>
          <w:szCs w:val="24"/>
        </w:rPr>
      </w:pPr>
      <w:r w:rsidRPr="0098769F">
        <w:rPr>
          <w:noProof/>
          <w:sz w:val="24"/>
          <w:szCs w:val="24"/>
        </w:rPr>
        <w:t xml:space="preserve">Mei, V. N., Periode, P., Anatasya, A., and Susilowati, E. (2021). </w:t>
      </w:r>
      <w:r w:rsidRPr="0098769F">
        <w:rPr>
          <w:i/>
          <w:iCs/>
          <w:noProof/>
          <w:sz w:val="24"/>
          <w:szCs w:val="24"/>
        </w:rPr>
        <w:t>Pengaruh Bank Size , Nim , Dan Car Terhadap</w:t>
      </w:r>
      <w:r w:rsidRPr="0098769F">
        <w:rPr>
          <w:noProof/>
          <w:sz w:val="24"/>
          <w:szCs w:val="24"/>
        </w:rPr>
        <w:t xml:space="preserve">. </w:t>
      </w:r>
      <w:r w:rsidRPr="0098769F">
        <w:rPr>
          <w:i/>
          <w:iCs/>
          <w:noProof/>
          <w:sz w:val="24"/>
          <w:szCs w:val="24"/>
        </w:rPr>
        <w:t>1</w:t>
      </w:r>
      <w:r w:rsidRPr="0098769F">
        <w:rPr>
          <w:noProof/>
          <w:sz w:val="24"/>
          <w:szCs w:val="24"/>
        </w:rPr>
        <w:t>(1), 271–281.</w:t>
      </w:r>
    </w:p>
    <w:p w14:paraId="516E4A07" w14:textId="77777777" w:rsidR="0098769F" w:rsidRPr="0098769F" w:rsidRDefault="00BC2F61" w:rsidP="0098769F">
      <w:pPr>
        <w:adjustRightInd w:val="0"/>
        <w:ind w:left="480" w:hanging="480"/>
        <w:jc w:val="both"/>
        <w:rPr>
          <w:noProof/>
          <w:sz w:val="24"/>
          <w:szCs w:val="24"/>
        </w:rPr>
      </w:pPr>
      <w:r w:rsidRPr="0098769F">
        <w:rPr>
          <w:noProof/>
          <w:sz w:val="24"/>
          <w:szCs w:val="24"/>
        </w:rPr>
        <w:t xml:space="preserve">Modal, P. S., Dan, K. D., and Candradewi, M. R. (2019). </w:t>
      </w:r>
      <w:r w:rsidRPr="0098769F">
        <w:rPr>
          <w:i/>
          <w:iCs/>
          <w:noProof/>
          <w:sz w:val="24"/>
          <w:szCs w:val="24"/>
        </w:rPr>
        <w:t>LIKUIDITAS TERHADAP PROFITABILITAS PERUSAHAAN PERBANKAN DI BURSA EFEK INDONESIA Fakultas Ekonomi dan Bisnis Universitas Udayana ( Unud ), Bali , Indonesia ABSTRAK Profitabilitas merupakan salah satu tolok ukur keberhasilan suatu perusahaan . Profitabilit</w:t>
      </w:r>
      <w:r w:rsidRPr="0098769F">
        <w:rPr>
          <w:noProof/>
          <w:sz w:val="24"/>
          <w:szCs w:val="24"/>
        </w:rPr>
        <w:t xml:space="preserve">y. </w:t>
      </w:r>
      <w:r w:rsidRPr="0098769F">
        <w:rPr>
          <w:i/>
          <w:iCs/>
          <w:noProof/>
          <w:sz w:val="24"/>
          <w:szCs w:val="24"/>
        </w:rPr>
        <w:t>8</w:t>
      </w:r>
      <w:r w:rsidRPr="0098769F">
        <w:rPr>
          <w:noProof/>
          <w:sz w:val="24"/>
          <w:szCs w:val="24"/>
        </w:rPr>
        <w:t>(8), 4871–4898.</w:t>
      </w:r>
    </w:p>
    <w:p w14:paraId="0F1AC89C" w14:textId="77777777" w:rsidR="0098769F" w:rsidRPr="0098769F" w:rsidRDefault="00BC2F61" w:rsidP="0098769F">
      <w:pPr>
        <w:adjustRightInd w:val="0"/>
        <w:ind w:left="480" w:hanging="480"/>
        <w:jc w:val="both"/>
        <w:rPr>
          <w:noProof/>
          <w:sz w:val="24"/>
          <w:szCs w:val="24"/>
        </w:rPr>
      </w:pPr>
      <w:r w:rsidRPr="0098769F">
        <w:rPr>
          <w:noProof/>
          <w:sz w:val="24"/>
          <w:szCs w:val="24"/>
        </w:rPr>
        <w:t xml:space="preserve">Muzakki, N., and Ulfah, Y. (2023). </w:t>
      </w:r>
      <w:r w:rsidRPr="0098769F">
        <w:rPr>
          <w:i/>
          <w:iCs/>
          <w:noProof/>
          <w:sz w:val="24"/>
          <w:szCs w:val="24"/>
        </w:rPr>
        <w:t>Pengaruh profitabilitas terhadap kebijakan dividen dengan likuiditas sebagai variabel moderasi</w:t>
      </w:r>
      <w:r w:rsidRPr="0098769F">
        <w:rPr>
          <w:noProof/>
          <w:sz w:val="24"/>
          <w:szCs w:val="24"/>
        </w:rPr>
        <w:t xml:space="preserve">. </w:t>
      </w:r>
      <w:r w:rsidRPr="0098769F">
        <w:rPr>
          <w:i/>
          <w:iCs/>
          <w:noProof/>
          <w:sz w:val="24"/>
          <w:szCs w:val="24"/>
        </w:rPr>
        <w:t>4</w:t>
      </w:r>
      <w:r w:rsidRPr="0098769F">
        <w:rPr>
          <w:noProof/>
          <w:sz w:val="24"/>
          <w:szCs w:val="24"/>
        </w:rPr>
        <w:t>(4), 924–931.</w:t>
      </w:r>
    </w:p>
    <w:p w14:paraId="118EC8E3" w14:textId="77777777" w:rsidR="0098769F" w:rsidRPr="0098769F" w:rsidRDefault="00BC2F61" w:rsidP="0098769F">
      <w:pPr>
        <w:adjustRightInd w:val="0"/>
        <w:ind w:left="480" w:hanging="480"/>
        <w:jc w:val="both"/>
        <w:rPr>
          <w:noProof/>
          <w:sz w:val="24"/>
          <w:szCs w:val="24"/>
        </w:rPr>
      </w:pPr>
      <w:r w:rsidRPr="0098769F">
        <w:rPr>
          <w:noProof/>
          <w:sz w:val="24"/>
          <w:szCs w:val="24"/>
        </w:rPr>
        <w:t xml:space="preserve">Najhah, D., Gunistiyo, and Amin, M. A. N. A. (2023). </w:t>
      </w:r>
      <w:r w:rsidRPr="0098769F">
        <w:rPr>
          <w:i/>
          <w:iCs/>
          <w:noProof/>
          <w:sz w:val="24"/>
          <w:szCs w:val="24"/>
        </w:rPr>
        <w:t>Pengaruh Non Performing Loan , BOPO dan Firm Size Terhadap Profitabilitas</w:t>
      </w:r>
      <w:r w:rsidRPr="0098769F">
        <w:rPr>
          <w:noProof/>
          <w:sz w:val="24"/>
          <w:szCs w:val="24"/>
        </w:rPr>
        <w:t xml:space="preserve">. </w:t>
      </w:r>
      <w:r w:rsidRPr="0098769F">
        <w:rPr>
          <w:i/>
          <w:iCs/>
          <w:noProof/>
          <w:sz w:val="24"/>
          <w:szCs w:val="24"/>
        </w:rPr>
        <w:t>4</w:t>
      </w:r>
      <w:r w:rsidRPr="0098769F">
        <w:rPr>
          <w:noProof/>
          <w:sz w:val="24"/>
          <w:szCs w:val="24"/>
        </w:rPr>
        <w:t>(1), 21–38.</w:t>
      </w:r>
    </w:p>
    <w:p w14:paraId="2DBD797E" w14:textId="77777777" w:rsidR="0098769F" w:rsidRPr="0098769F" w:rsidRDefault="00BC2F61" w:rsidP="0098769F">
      <w:pPr>
        <w:adjustRightInd w:val="0"/>
        <w:ind w:left="480" w:hanging="480"/>
        <w:jc w:val="both"/>
        <w:rPr>
          <w:noProof/>
          <w:sz w:val="24"/>
          <w:szCs w:val="24"/>
        </w:rPr>
      </w:pPr>
      <w:r w:rsidRPr="0098769F">
        <w:rPr>
          <w:noProof/>
          <w:sz w:val="24"/>
          <w:szCs w:val="24"/>
        </w:rPr>
        <w:t xml:space="preserve">Pitchay, A. A., Malim, N. A. K., and Masron, T. A. (2017). Determinants of Islamic Banks’ Margins in Asian Countries. </w:t>
      </w:r>
      <w:r w:rsidRPr="0098769F">
        <w:rPr>
          <w:i/>
          <w:iCs/>
          <w:noProof/>
          <w:sz w:val="24"/>
          <w:szCs w:val="24"/>
        </w:rPr>
        <w:t>Journal of Islamic Finance</w:t>
      </w:r>
      <w:r w:rsidRPr="0098769F">
        <w:rPr>
          <w:noProof/>
          <w:sz w:val="24"/>
          <w:szCs w:val="24"/>
        </w:rPr>
        <w:t xml:space="preserve">, </w:t>
      </w:r>
      <w:r w:rsidRPr="0098769F">
        <w:rPr>
          <w:i/>
          <w:iCs/>
          <w:noProof/>
          <w:sz w:val="24"/>
          <w:szCs w:val="24"/>
        </w:rPr>
        <w:t>6</w:t>
      </w:r>
      <w:r w:rsidRPr="0098769F">
        <w:rPr>
          <w:noProof/>
          <w:sz w:val="24"/>
          <w:szCs w:val="24"/>
        </w:rPr>
        <w:t>(Special Issue), 46–53. https://doi.org/10.12816/0047339</w:t>
      </w:r>
    </w:p>
    <w:p w14:paraId="58EAA61F" w14:textId="77777777" w:rsidR="0098769F" w:rsidRPr="0098769F" w:rsidRDefault="00BC2F61" w:rsidP="0098769F">
      <w:pPr>
        <w:adjustRightInd w:val="0"/>
        <w:ind w:left="480" w:hanging="480"/>
        <w:jc w:val="both"/>
        <w:rPr>
          <w:noProof/>
          <w:sz w:val="24"/>
          <w:szCs w:val="24"/>
        </w:rPr>
      </w:pPr>
      <w:r w:rsidRPr="0098769F">
        <w:rPr>
          <w:noProof/>
          <w:sz w:val="24"/>
          <w:szCs w:val="24"/>
        </w:rPr>
        <w:t xml:space="preserve">Rimawan, M., Muniarty, P., Alwi, A., Mutiah, H., and Pratiwi, A. (2023). Analisis Pengaruh Kebijakan Deviden dan Struktur Modal terhadap Nilai Perusahaan dengan Profitabilitas sebagai Pemoderasi pada Perusahaan Perbankan yang Listing di BEI. </w:t>
      </w:r>
      <w:r w:rsidRPr="0098769F">
        <w:rPr>
          <w:i/>
          <w:iCs/>
          <w:noProof/>
          <w:sz w:val="24"/>
          <w:szCs w:val="24"/>
        </w:rPr>
        <w:t>Jesya</w:t>
      </w:r>
      <w:r w:rsidRPr="0098769F">
        <w:rPr>
          <w:noProof/>
          <w:sz w:val="24"/>
          <w:szCs w:val="24"/>
        </w:rPr>
        <w:t xml:space="preserve">, </w:t>
      </w:r>
      <w:r w:rsidRPr="0098769F">
        <w:rPr>
          <w:i/>
          <w:iCs/>
          <w:noProof/>
          <w:sz w:val="24"/>
          <w:szCs w:val="24"/>
        </w:rPr>
        <w:t>6</w:t>
      </w:r>
      <w:r w:rsidRPr="0098769F">
        <w:rPr>
          <w:noProof/>
          <w:sz w:val="24"/>
          <w:szCs w:val="24"/>
        </w:rPr>
        <w:t>(1), 1029–1041. https://doi.org/10.36778/jesya.v6i1.1071</w:t>
      </w:r>
    </w:p>
    <w:p w14:paraId="3CF3DAD0" w14:textId="77777777" w:rsidR="0098769F" w:rsidRPr="0098769F" w:rsidRDefault="00BC2F61" w:rsidP="0098769F">
      <w:pPr>
        <w:adjustRightInd w:val="0"/>
        <w:ind w:left="480" w:hanging="480"/>
        <w:jc w:val="both"/>
        <w:rPr>
          <w:noProof/>
          <w:sz w:val="24"/>
          <w:szCs w:val="24"/>
        </w:rPr>
      </w:pPr>
      <w:r w:rsidRPr="0098769F">
        <w:rPr>
          <w:noProof/>
          <w:sz w:val="24"/>
          <w:szCs w:val="24"/>
        </w:rPr>
        <w:t xml:space="preserve">Romdhoni, A. (2019). </w:t>
      </w:r>
      <w:r w:rsidRPr="0098769F">
        <w:rPr>
          <w:i/>
          <w:iCs/>
          <w:noProof/>
          <w:sz w:val="24"/>
          <w:szCs w:val="24"/>
        </w:rPr>
        <w:t>Semiotik Metodologi Penelitian</w:t>
      </w:r>
      <w:r w:rsidRPr="0098769F">
        <w:rPr>
          <w:noProof/>
          <w:sz w:val="24"/>
          <w:szCs w:val="24"/>
        </w:rPr>
        <w:t>. Literatur Nusantara.</w:t>
      </w:r>
    </w:p>
    <w:p w14:paraId="721E3873" w14:textId="77777777" w:rsidR="0098769F" w:rsidRPr="0098769F" w:rsidRDefault="00BC2F61" w:rsidP="0098769F">
      <w:pPr>
        <w:adjustRightInd w:val="0"/>
        <w:ind w:left="480" w:hanging="480"/>
        <w:jc w:val="both"/>
        <w:rPr>
          <w:noProof/>
          <w:sz w:val="24"/>
          <w:szCs w:val="24"/>
        </w:rPr>
      </w:pPr>
      <w:r w:rsidRPr="0098769F">
        <w:rPr>
          <w:noProof/>
          <w:sz w:val="24"/>
          <w:szCs w:val="24"/>
        </w:rPr>
        <w:t xml:space="preserve">Sugiyono, S. (2017). Metode Penelitian Kuantitatif, Kualitatif Dan R &amp; D. </w:t>
      </w:r>
      <w:r w:rsidRPr="0098769F">
        <w:rPr>
          <w:i/>
          <w:iCs/>
          <w:noProof/>
          <w:sz w:val="24"/>
          <w:szCs w:val="24"/>
        </w:rPr>
        <w:t>ALFABETA</w:t>
      </w:r>
      <w:r w:rsidRPr="0098769F">
        <w:rPr>
          <w:noProof/>
          <w:sz w:val="24"/>
          <w:szCs w:val="24"/>
        </w:rPr>
        <w:t>.</w:t>
      </w:r>
    </w:p>
    <w:p w14:paraId="0C687A48" w14:textId="77777777" w:rsidR="0098769F" w:rsidRPr="0098769F" w:rsidRDefault="00BC2F61" w:rsidP="0098769F">
      <w:pPr>
        <w:adjustRightInd w:val="0"/>
        <w:ind w:left="480" w:hanging="480"/>
        <w:jc w:val="both"/>
        <w:rPr>
          <w:noProof/>
          <w:sz w:val="24"/>
          <w:szCs w:val="24"/>
        </w:rPr>
      </w:pPr>
      <w:r w:rsidRPr="0098769F">
        <w:rPr>
          <w:noProof/>
          <w:sz w:val="24"/>
          <w:szCs w:val="24"/>
        </w:rPr>
        <w:t xml:space="preserve">Tartila, M. (2022). Strategi Industri Perbankan Syariah dalam Menghadapi Era Digital. </w:t>
      </w:r>
      <w:r w:rsidRPr="0098769F">
        <w:rPr>
          <w:i/>
          <w:iCs/>
          <w:noProof/>
          <w:sz w:val="24"/>
          <w:szCs w:val="24"/>
        </w:rPr>
        <w:t>Jurnal Ilmiah Ekonomi Islam</w:t>
      </w:r>
      <w:r w:rsidRPr="0098769F">
        <w:rPr>
          <w:noProof/>
          <w:sz w:val="24"/>
          <w:szCs w:val="24"/>
        </w:rPr>
        <w:t xml:space="preserve">, </w:t>
      </w:r>
      <w:r w:rsidRPr="0098769F">
        <w:rPr>
          <w:i/>
          <w:iCs/>
          <w:noProof/>
          <w:sz w:val="24"/>
          <w:szCs w:val="24"/>
        </w:rPr>
        <w:t>8</w:t>
      </w:r>
      <w:r w:rsidRPr="0098769F">
        <w:rPr>
          <w:noProof/>
          <w:sz w:val="24"/>
          <w:szCs w:val="24"/>
        </w:rPr>
        <w:t>(3), 3310. https://doi.org/10.29040/jiei.v8i3.6408</w:t>
      </w:r>
    </w:p>
    <w:p w14:paraId="1F27E237" w14:textId="77777777" w:rsidR="0098769F" w:rsidRPr="0098769F" w:rsidRDefault="00BC2F61" w:rsidP="0098769F">
      <w:pPr>
        <w:adjustRightInd w:val="0"/>
        <w:ind w:left="480" w:hanging="480"/>
        <w:jc w:val="both"/>
        <w:rPr>
          <w:noProof/>
          <w:sz w:val="24"/>
          <w:szCs w:val="24"/>
        </w:rPr>
      </w:pPr>
      <w:r w:rsidRPr="0098769F">
        <w:rPr>
          <w:noProof/>
          <w:sz w:val="24"/>
          <w:szCs w:val="24"/>
        </w:rPr>
        <w:t xml:space="preserve">Yuliana, I. R., and Listari, S. (2021). Pengaruh CAR, FDR, Dan BOPO Terhadap ROA Pada Bank Syariah Di Indonesia. </w:t>
      </w:r>
      <w:r w:rsidRPr="0098769F">
        <w:rPr>
          <w:i/>
          <w:iCs/>
          <w:noProof/>
          <w:sz w:val="24"/>
          <w:szCs w:val="24"/>
        </w:rPr>
        <w:t>Jurnal Ilmiah Akuntansi Kesatuan</w:t>
      </w:r>
      <w:r w:rsidRPr="0098769F">
        <w:rPr>
          <w:noProof/>
          <w:sz w:val="24"/>
          <w:szCs w:val="24"/>
        </w:rPr>
        <w:t xml:space="preserve">, </w:t>
      </w:r>
      <w:r w:rsidRPr="0098769F">
        <w:rPr>
          <w:i/>
          <w:iCs/>
          <w:noProof/>
          <w:sz w:val="24"/>
          <w:szCs w:val="24"/>
        </w:rPr>
        <w:t>9</w:t>
      </w:r>
      <w:r w:rsidRPr="0098769F">
        <w:rPr>
          <w:noProof/>
          <w:sz w:val="24"/>
          <w:szCs w:val="24"/>
        </w:rPr>
        <w:t>(2), 309–334.</w:t>
      </w:r>
    </w:p>
    <w:p w14:paraId="581E2B73" w14:textId="77777777" w:rsidR="0098769F" w:rsidRPr="0098769F" w:rsidRDefault="00BC2F61" w:rsidP="0098769F">
      <w:pPr>
        <w:adjustRightInd w:val="0"/>
        <w:ind w:left="480" w:hanging="480"/>
        <w:jc w:val="both"/>
        <w:rPr>
          <w:noProof/>
          <w:sz w:val="24"/>
        </w:rPr>
      </w:pPr>
      <w:r w:rsidRPr="0098769F">
        <w:rPr>
          <w:noProof/>
          <w:sz w:val="24"/>
          <w:szCs w:val="24"/>
        </w:rPr>
        <w:t xml:space="preserve">Yuniar, D., and Yuningsih, I. (2023). Pengaruh Dana Pihak Ketiga (DPK), Capital Adequacy Ratio (CAR), Non-Performing Financing (NPF) dan Biaya Operasional terhadap Pendapatan Operasional (BOPO) terhadap Profitabilitas pada Bank Umum Syariah. </w:t>
      </w:r>
      <w:r w:rsidRPr="0098769F">
        <w:rPr>
          <w:i/>
          <w:iCs/>
          <w:noProof/>
          <w:sz w:val="24"/>
          <w:szCs w:val="24"/>
        </w:rPr>
        <w:t>JESM: Jurnal Ekonomi Syariah Mulawarman</w:t>
      </w:r>
      <w:r w:rsidRPr="0098769F">
        <w:rPr>
          <w:noProof/>
          <w:sz w:val="24"/>
          <w:szCs w:val="24"/>
        </w:rPr>
        <w:t xml:space="preserve">, </w:t>
      </w:r>
      <w:r w:rsidRPr="0098769F">
        <w:rPr>
          <w:i/>
          <w:iCs/>
          <w:noProof/>
          <w:sz w:val="24"/>
          <w:szCs w:val="24"/>
        </w:rPr>
        <w:t>2</w:t>
      </w:r>
      <w:r w:rsidRPr="0098769F">
        <w:rPr>
          <w:noProof/>
          <w:sz w:val="24"/>
          <w:szCs w:val="24"/>
        </w:rPr>
        <w:t>(1), 27–36.</w:t>
      </w:r>
    </w:p>
    <w:p w14:paraId="1875C1F5" w14:textId="77777777" w:rsidR="000958B3" w:rsidRDefault="00BC2F61" w:rsidP="000958B3">
      <w:pPr>
        <w:ind w:left="720" w:hanging="720"/>
        <w:contextualSpacing/>
        <w:jc w:val="both"/>
        <w:rPr>
          <w:color w:val="000000"/>
          <w:sz w:val="24"/>
          <w:szCs w:val="24"/>
        </w:rPr>
      </w:pPr>
      <w:r>
        <w:rPr>
          <w:color w:val="000000"/>
          <w:sz w:val="24"/>
          <w:szCs w:val="24"/>
        </w:rPr>
        <w:fldChar w:fldCharType="end"/>
      </w:r>
    </w:p>
    <w:sectPr w:rsidR="000958B3" w:rsidSect="00172EE0">
      <w:type w:val="evenPage"/>
      <w:pgSz w:w="11906" w:h="16838" w:code="9"/>
      <w:pgMar w:top="1701" w:right="1701" w:bottom="1701" w:left="2268" w:header="709" w:footer="851" w:gutter="0"/>
      <w:cols w:space="56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17EE5B" w14:textId="77777777" w:rsidR="00AF38CA" w:rsidRDefault="00AF38CA">
      <w:r>
        <w:separator/>
      </w:r>
    </w:p>
  </w:endnote>
  <w:endnote w:type="continuationSeparator" w:id="0">
    <w:p w14:paraId="25B327D9" w14:textId="77777777" w:rsidR="00AF38CA" w:rsidRDefault="00AF38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8765538"/>
      <w:docPartObj>
        <w:docPartGallery w:val="Page Numbers (Bottom of Page)"/>
        <w:docPartUnique/>
      </w:docPartObj>
    </w:sdtPr>
    <w:sdtEndPr>
      <w:rPr>
        <w:noProof/>
      </w:rPr>
    </w:sdtEndPr>
    <w:sdtContent>
      <w:p w14:paraId="7D4628D2" w14:textId="77777777" w:rsidR="008A6A6E" w:rsidRDefault="00BC2F6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7990DE8" w14:textId="77777777" w:rsidR="008A6A6E" w:rsidRDefault="008A6A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7505594"/>
      <w:docPartObj>
        <w:docPartGallery w:val="Page Numbers (Bottom of Page)"/>
        <w:docPartUnique/>
      </w:docPartObj>
    </w:sdtPr>
    <w:sdtEndPr>
      <w:rPr>
        <w:noProof/>
      </w:rPr>
    </w:sdtEndPr>
    <w:sdtContent>
      <w:p w14:paraId="55093FAB" w14:textId="4A4B33FB" w:rsidR="00301519" w:rsidRDefault="0030151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A906B53" w14:textId="7F702716" w:rsidR="003777DA" w:rsidRPr="00301519" w:rsidRDefault="003777DA" w:rsidP="003015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F7FBF2" w14:textId="77777777" w:rsidR="00AF38CA" w:rsidRDefault="00AF38CA">
      <w:r>
        <w:separator/>
      </w:r>
    </w:p>
  </w:footnote>
  <w:footnote w:type="continuationSeparator" w:id="0">
    <w:p w14:paraId="44B3BE5E" w14:textId="77777777" w:rsidR="00AF38CA" w:rsidRDefault="00AF38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3723455"/>
      <w:docPartObj>
        <w:docPartGallery w:val="Page Numbers (Top of Page)"/>
        <w:docPartUnique/>
      </w:docPartObj>
    </w:sdtPr>
    <w:sdtEndPr>
      <w:rPr>
        <w:noProof/>
      </w:rPr>
    </w:sdtEndPr>
    <w:sdtContent>
      <w:p w14:paraId="2B254024" w14:textId="77777777" w:rsidR="003777DA" w:rsidRDefault="00BC2F61">
        <w:pPr>
          <w:pStyle w:val="Header"/>
        </w:pPr>
        <w:r w:rsidRPr="00F32228">
          <w:rPr>
            <w:b/>
          </w:rPr>
          <w:fldChar w:fldCharType="begin"/>
        </w:r>
        <w:r w:rsidRPr="00F32228">
          <w:rPr>
            <w:b/>
          </w:rPr>
          <w:instrText xml:space="preserve"> PAGE   \* MERGEFORMAT </w:instrText>
        </w:r>
        <w:r w:rsidRPr="00F32228">
          <w:rPr>
            <w:b/>
          </w:rPr>
          <w:fldChar w:fldCharType="separate"/>
        </w:r>
        <w:r w:rsidR="00A57649">
          <w:rPr>
            <w:b/>
            <w:noProof/>
          </w:rPr>
          <w:t>80</w:t>
        </w:r>
        <w:r w:rsidRPr="00F32228">
          <w:rPr>
            <w:b/>
            <w:noProof/>
          </w:rPr>
          <w:fldChar w:fldCharType="end"/>
        </w:r>
        <w:r>
          <w:rPr>
            <w:noProof/>
          </w:rPr>
          <w:t xml:space="preserve">  JMK (Jurnal Manajemen dan Kewirausahaan)  </w:t>
        </w:r>
        <w:r w:rsidR="00BC0250">
          <w:rPr>
            <w:noProof/>
          </w:rPr>
          <w:t>6</w:t>
        </w:r>
        <w:r>
          <w:rPr>
            <w:noProof/>
          </w:rPr>
          <w:t xml:space="preserve"> (</w:t>
        </w:r>
        <w:r w:rsidR="00BC0250">
          <w:rPr>
            <w:noProof/>
          </w:rPr>
          <w:t>1</w:t>
        </w:r>
        <w:r>
          <w:rPr>
            <w:noProof/>
          </w:rPr>
          <w:t>) 202</w:t>
        </w:r>
        <w:r w:rsidR="00BC0250">
          <w:rPr>
            <w:noProof/>
          </w:rPr>
          <w:t>1</w:t>
        </w:r>
        <w:r>
          <w:rPr>
            <w:noProof/>
          </w:rPr>
          <w:t xml:space="preserve">, </w:t>
        </w:r>
        <w:r w:rsidR="00305DAB">
          <w:rPr>
            <w:noProof/>
          </w:rPr>
          <w:t>1</w:t>
        </w:r>
        <w:r>
          <w:rPr>
            <w:noProof/>
          </w:rPr>
          <w:t>-</w:t>
        </w:r>
        <w:r w:rsidR="00305DAB">
          <w:rPr>
            <w:noProof/>
          </w:rPr>
          <w:t>10</w:t>
        </w:r>
      </w:p>
    </w:sdtContent>
  </w:sdt>
  <w:p w14:paraId="4F1A7780" w14:textId="77777777" w:rsidR="003777DA" w:rsidRDefault="003777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FBF36" w14:textId="0B6EFFFD" w:rsidR="003777DA" w:rsidRPr="003A1264" w:rsidRDefault="00F6348C" w:rsidP="008A6A6E">
    <w:pPr>
      <w:pStyle w:val="Header"/>
      <w:jc w:val="center"/>
      <w:rPr>
        <w:lang w:val="en-US"/>
      </w:rPr>
    </w:pPr>
    <w:r>
      <w:rPr>
        <w:lang w:val="en-US"/>
      </w:rPr>
      <w:t>Bagus</w:t>
    </w:r>
    <w:r w:rsidR="00C85854">
      <w:rPr>
        <w:lang w:val="en-US"/>
      </w:rPr>
      <w:t xml:space="preserve"> &amp;</w:t>
    </w:r>
    <w:r w:rsidR="003A1264">
      <w:rPr>
        <w:lang w:val="en-US"/>
      </w:rPr>
      <w:t xml:space="preserve"> Tiara</w:t>
    </w:r>
    <w:r w:rsidR="001E1F8D">
      <w:t xml:space="preserve"> </w:t>
    </w:r>
    <w:r w:rsidR="00BC2F61">
      <w:t>/</w:t>
    </w:r>
    <w:r w:rsidR="00BC2F61" w:rsidRPr="00EB1411">
      <w:t xml:space="preserve"> </w:t>
    </w:r>
    <w:r w:rsidR="001E1F8D">
      <w:t xml:space="preserve">Jurnal Manajemen dan Kewirausahaan </w:t>
    </w:r>
    <w:r w:rsidR="00172EE0">
      <w:rPr>
        <w:lang w:val="en-US"/>
      </w:rPr>
      <w:t>10</w:t>
    </w:r>
    <w:r w:rsidR="001E1F8D">
      <w:t xml:space="preserve"> (</w:t>
    </w:r>
    <w:r w:rsidR="003A1264">
      <w:rPr>
        <w:lang w:val="en-US"/>
      </w:rPr>
      <w:t>1</w:t>
    </w:r>
    <w:r w:rsidR="001E1F8D">
      <w:t>) 20</w:t>
    </w:r>
    <w:r w:rsidR="003A1264">
      <w:rPr>
        <w:lang w:val="en-US"/>
      </w:rPr>
      <w:t>25</w:t>
    </w:r>
    <w:r w:rsidR="001E1F8D">
      <w:t xml:space="preserve">, </w:t>
    </w:r>
    <w:r w:rsidR="003A1264">
      <w:rPr>
        <w:lang w:val="en-US"/>
      </w:rPr>
      <w:t>1</w:t>
    </w:r>
    <w:r w:rsidR="00172EE0">
      <w:rPr>
        <w:lang w:val="en-US"/>
      </w:rPr>
      <w:t>3</w:t>
    </w:r>
    <w:r w:rsidR="001E1F8D">
      <w:t>-</w:t>
    </w:r>
    <w:r w:rsidR="003A1264">
      <w:rPr>
        <w:lang w:val="en-US"/>
      </w:rPr>
      <w:t>2</w:t>
    </w:r>
    <w:r w:rsidR="00172EE0">
      <w:rPr>
        <w:lang w:val="en-US"/>
      </w:rPr>
      <w:t>4</w:t>
    </w:r>
  </w:p>
  <w:p w14:paraId="6E074A1D" w14:textId="77777777" w:rsidR="003777DA" w:rsidRPr="00931FD1" w:rsidRDefault="003777DA" w:rsidP="00931FD1">
    <w:pPr>
      <w:pStyle w:val="Header"/>
      <w:tabs>
        <w:tab w:val="clear" w:pos="4513"/>
        <w:tab w:val="clear" w:pos="9026"/>
      </w:tabs>
      <w:jc w:val="right"/>
      <w:rPr>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315CB" w14:textId="77777777" w:rsidR="00925698" w:rsidRPr="00925698" w:rsidRDefault="00925698" w:rsidP="00925698">
    <w:pPr>
      <w:pStyle w:val="Header"/>
      <w:rPr>
        <w:b/>
        <w:bCs/>
        <w:sz w:val="32"/>
        <w:szCs w:val="32"/>
      </w:rPr>
    </w:pPr>
    <w:r w:rsidRPr="00925698">
      <w:rPr>
        <w:b/>
        <w:bCs/>
        <w:sz w:val="32"/>
        <w:szCs w:val="32"/>
      </w:rPr>
      <w:t>JMK (Jurnal Manajemen dan Kewirausahaan)</w:t>
    </w:r>
  </w:p>
  <w:p w14:paraId="35B7E7DC" w14:textId="77777777" w:rsidR="00925698" w:rsidRPr="00925698" w:rsidRDefault="00925698" w:rsidP="00925698">
    <w:pPr>
      <w:pStyle w:val="Header"/>
      <w:rPr>
        <w:sz w:val="24"/>
        <w:szCs w:val="24"/>
      </w:rPr>
    </w:pPr>
    <w:r w:rsidRPr="00925698">
      <w:rPr>
        <w:sz w:val="24"/>
        <w:szCs w:val="24"/>
      </w:rPr>
      <w:t>http://ejournal.uniska-kediri.ac.id/index.php/ManajemenKewirausahaan</w:t>
    </w:r>
  </w:p>
  <w:p w14:paraId="6B46B7F7" w14:textId="7A8DB647" w:rsidR="00925698" w:rsidRPr="00804966" w:rsidRDefault="00925698" w:rsidP="00925698">
    <w:pPr>
      <w:pStyle w:val="Header"/>
      <w:rPr>
        <w:sz w:val="24"/>
        <w:szCs w:val="24"/>
        <w:lang w:val="en-US"/>
      </w:rPr>
    </w:pPr>
    <w:r w:rsidRPr="00925698">
      <w:rPr>
        <w:sz w:val="24"/>
        <w:szCs w:val="24"/>
      </w:rPr>
      <w:t>JMK 10 (1) 2025, 1</w:t>
    </w:r>
    <w:r w:rsidR="00804966">
      <w:rPr>
        <w:sz w:val="24"/>
        <w:szCs w:val="24"/>
        <w:lang w:val="en-US"/>
      </w:rPr>
      <w:t>3</w:t>
    </w:r>
    <w:r w:rsidRPr="00925698">
      <w:rPr>
        <w:sz w:val="24"/>
        <w:szCs w:val="24"/>
      </w:rPr>
      <w:t>-2</w:t>
    </w:r>
    <w:r w:rsidR="00804966">
      <w:rPr>
        <w:sz w:val="24"/>
        <w:szCs w:val="24"/>
        <w:lang w:val="en-US"/>
      </w:rPr>
      <w:t>4</w:t>
    </w:r>
  </w:p>
  <w:p w14:paraId="42C468A5" w14:textId="7009D130" w:rsidR="003777DA" w:rsidRDefault="00925698" w:rsidP="00651FD0">
    <w:pPr>
      <w:pStyle w:val="Header"/>
      <w:jc w:val="right"/>
    </w:pPr>
    <w:r>
      <w:t>P-ISSN 2477-3166</w:t>
    </w:r>
    <w:r>
      <w:rPr>
        <w:lang w:val="en-US"/>
      </w:rPr>
      <w:t xml:space="preserve">     </w:t>
    </w:r>
    <w:r>
      <w:t>E-ISSN 2656-0771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F13FA"/>
    <w:multiLevelType w:val="hybridMultilevel"/>
    <w:tmpl w:val="E84085B0"/>
    <w:lvl w:ilvl="0" w:tplc="6C7C4930">
      <w:start w:val="1"/>
      <w:numFmt w:val="bullet"/>
      <w:lvlText w:val=""/>
      <w:lvlJc w:val="left"/>
      <w:pPr>
        <w:ind w:left="1080" w:hanging="360"/>
      </w:pPr>
      <w:rPr>
        <w:rFonts w:ascii="Symbol" w:hAnsi="Symbol" w:hint="default"/>
      </w:rPr>
    </w:lvl>
    <w:lvl w:ilvl="1" w:tplc="3C306228" w:tentative="1">
      <w:start w:val="1"/>
      <w:numFmt w:val="bullet"/>
      <w:lvlText w:val="o"/>
      <w:lvlJc w:val="left"/>
      <w:pPr>
        <w:ind w:left="1800" w:hanging="360"/>
      </w:pPr>
      <w:rPr>
        <w:rFonts w:ascii="Courier New" w:hAnsi="Courier New" w:cs="Courier New" w:hint="default"/>
      </w:rPr>
    </w:lvl>
    <w:lvl w:ilvl="2" w:tplc="0B621348" w:tentative="1">
      <w:start w:val="1"/>
      <w:numFmt w:val="bullet"/>
      <w:lvlText w:val=""/>
      <w:lvlJc w:val="left"/>
      <w:pPr>
        <w:ind w:left="2520" w:hanging="360"/>
      </w:pPr>
      <w:rPr>
        <w:rFonts w:ascii="Wingdings" w:hAnsi="Wingdings" w:hint="default"/>
      </w:rPr>
    </w:lvl>
    <w:lvl w:ilvl="3" w:tplc="1EE834EA" w:tentative="1">
      <w:start w:val="1"/>
      <w:numFmt w:val="bullet"/>
      <w:lvlText w:val=""/>
      <w:lvlJc w:val="left"/>
      <w:pPr>
        <w:ind w:left="3240" w:hanging="360"/>
      </w:pPr>
      <w:rPr>
        <w:rFonts w:ascii="Symbol" w:hAnsi="Symbol" w:hint="default"/>
      </w:rPr>
    </w:lvl>
    <w:lvl w:ilvl="4" w:tplc="608C5EEE" w:tentative="1">
      <w:start w:val="1"/>
      <w:numFmt w:val="bullet"/>
      <w:lvlText w:val="o"/>
      <w:lvlJc w:val="left"/>
      <w:pPr>
        <w:ind w:left="3960" w:hanging="360"/>
      </w:pPr>
      <w:rPr>
        <w:rFonts w:ascii="Courier New" w:hAnsi="Courier New" w:cs="Courier New" w:hint="default"/>
      </w:rPr>
    </w:lvl>
    <w:lvl w:ilvl="5" w:tplc="572E01D8" w:tentative="1">
      <w:start w:val="1"/>
      <w:numFmt w:val="bullet"/>
      <w:lvlText w:val=""/>
      <w:lvlJc w:val="left"/>
      <w:pPr>
        <w:ind w:left="4680" w:hanging="360"/>
      </w:pPr>
      <w:rPr>
        <w:rFonts w:ascii="Wingdings" w:hAnsi="Wingdings" w:hint="default"/>
      </w:rPr>
    </w:lvl>
    <w:lvl w:ilvl="6" w:tplc="F9C22A4C" w:tentative="1">
      <w:start w:val="1"/>
      <w:numFmt w:val="bullet"/>
      <w:lvlText w:val=""/>
      <w:lvlJc w:val="left"/>
      <w:pPr>
        <w:ind w:left="5400" w:hanging="360"/>
      </w:pPr>
      <w:rPr>
        <w:rFonts w:ascii="Symbol" w:hAnsi="Symbol" w:hint="default"/>
      </w:rPr>
    </w:lvl>
    <w:lvl w:ilvl="7" w:tplc="1AEE7202" w:tentative="1">
      <w:start w:val="1"/>
      <w:numFmt w:val="bullet"/>
      <w:lvlText w:val="o"/>
      <w:lvlJc w:val="left"/>
      <w:pPr>
        <w:ind w:left="6120" w:hanging="360"/>
      </w:pPr>
      <w:rPr>
        <w:rFonts w:ascii="Courier New" w:hAnsi="Courier New" w:cs="Courier New" w:hint="default"/>
      </w:rPr>
    </w:lvl>
    <w:lvl w:ilvl="8" w:tplc="45264ED0" w:tentative="1">
      <w:start w:val="1"/>
      <w:numFmt w:val="bullet"/>
      <w:lvlText w:val=""/>
      <w:lvlJc w:val="left"/>
      <w:pPr>
        <w:ind w:left="6840" w:hanging="360"/>
      </w:pPr>
      <w:rPr>
        <w:rFonts w:ascii="Wingdings" w:hAnsi="Wingdings" w:hint="default"/>
      </w:rPr>
    </w:lvl>
  </w:abstractNum>
  <w:abstractNum w:abstractNumId="1" w15:restartNumberingAfterBreak="0">
    <w:nsid w:val="108F726A"/>
    <w:multiLevelType w:val="hybridMultilevel"/>
    <w:tmpl w:val="312824AE"/>
    <w:lvl w:ilvl="0" w:tplc="392A479C">
      <w:start w:val="1"/>
      <w:numFmt w:val="decimal"/>
      <w:lvlText w:val="%1."/>
      <w:lvlJc w:val="left"/>
      <w:pPr>
        <w:ind w:left="1200" w:hanging="360"/>
      </w:pPr>
    </w:lvl>
    <w:lvl w:ilvl="1" w:tplc="7DCC5FFC" w:tentative="1">
      <w:start w:val="1"/>
      <w:numFmt w:val="lowerLetter"/>
      <w:lvlText w:val="%2."/>
      <w:lvlJc w:val="left"/>
      <w:pPr>
        <w:ind w:left="1920" w:hanging="360"/>
      </w:pPr>
    </w:lvl>
    <w:lvl w:ilvl="2" w:tplc="D60C2F24" w:tentative="1">
      <w:start w:val="1"/>
      <w:numFmt w:val="lowerRoman"/>
      <w:lvlText w:val="%3."/>
      <w:lvlJc w:val="right"/>
      <w:pPr>
        <w:ind w:left="2640" w:hanging="180"/>
      </w:pPr>
    </w:lvl>
    <w:lvl w:ilvl="3" w:tplc="FF620DE2" w:tentative="1">
      <w:start w:val="1"/>
      <w:numFmt w:val="decimal"/>
      <w:lvlText w:val="%4."/>
      <w:lvlJc w:val="left"/>
      <w:pPr>
        <w:ind w:left="3360" w:hanging="360"/>
      </w:pPr>
    </w:lvl>
    <w:lvl w:ilvl="4" w:tplc="FCE2F666" w:tentative="1">
      <w:start w:val="1"/>
      <w:numFmt w:val="lowerLetter"/>
      <w:lvlText w:val="%5."/>
      <w:lvlJc w:val="left"/>
      <w:pPr>
        <w:ind w:left="4080" w:hanging="360"/>
      </w:pPr>
    </w:lvl>
    <w:lvl w:ilvl="5" w:tplc="4A6EB0BE" w:tentative="1">
      <w:start w:val="1"/>
      <w:numFmt w:val="lowerRoman"/>
      <w:lvlText w:val="%6."/>
      <w:lvlJc w:val="right"/>
      <w:pPr>
        <w:ind w:left="4800" w:hanging="180"/>
      </w:pPr>
    </w:lvl>
    <w:lvl w:ilvl="6" w:tplc="100274F0" w:tentative="1">
      <w:start w:val="1"/>
      <w:numFmt w:val="decimal"/>
      <w:lvlText w:val="%7."/>
      <w:lvlJc w:val="left"/>
      <w:pPr>
        <w:ind w:left="5520" w:hanging="360"/>
      </w:pPr>
    </w:lvl>
    <w:lvl w:ilvl="7" w:tplc="A2ECD3EE" w:tentative="1">
      <w:start w:val="1"/>
      <w:numFmt w:val="lowerLetter"/>
      <w:lvlText w:val="%8."/>
      <w:lvlJc w:val="left"/>
      <w:pPr>
        <w:ind w:left="6240" w:hanging="360"/>
      </w:pPr>
    </w:lvl>
    <w:lvl w:ilvl="8" w:tplc="E8B0340C" w:tentative="1">
      <w:start w:val="1"/>
      <w:numFmt w:val="lowerRoman"/>
      <w:lvlText w:val="%9."/>
      <w:lvlJc w:val="right"/>
      <w:pPr>
        <w:ind w:left="6960" w:hanging="180"/>
      </w:pPr>
    </w:lvl>
  </w:abstractNum>
  <w:abstractNum w:abstractNumId="2" w15:restartNumberingAfterBreak="0">
    <w:nsid w:val="11D123BB"/>
    <w:multiLevelType w:val="hybridMultilevel"/>
    <w:tmpl w:val="E8D0F832"/>
    <w:lvl w:ilvl="0" w:tplc="D7346046">
      <w:start w:val="1"/>
      <w:numFmt w:val="bullet"/>
      <w:lvlText w:val=""/>
      <w:lvlJc w:val="left"/>
      <w:pPr>
        <w:ind w:left="720" w:hanging="360"/>
      </w:pPr>
      <w:rPr>
        <w:rFonts w:ascii="Symbol" w:hAnsi="Symbol" w:hint="default"/>
      </w:rPr>
    </w:lvl>
    <w:lvl w:ilvl="1" w:tplc="DA2A05D6" w:tentative="1">
      <w:start w:val="1"/>
      <w:numFmt w:val="bullet"/>
      <w:lvlText w:val="o"/>
      <w:lvlJc w:val="left"/>
      <w:pPr>
        <w:ind w:left="1440" w:hanging="360"/>
      </w:pPr>
      <w:rPr>
        <w:rFonts w:ascii="Courier New" w:hAnsi="Courier New" w:cs="Courier New" w:hint="default"/>
      </w:rPr>
    </w:lvl>
    <w:lvl w:ilvl="2" w:tplc="54F84822" w:tentative="1">
      <w:start w:val="1"/>
      <w:numFmt w:val="bullet"/>
      <w:lvlText w:val=""/>
      <w:lvlJc w:val="left"/>
      <w:pPr>
        <w:ind w:left="2160" w:hanging="360"/>
      </w:pPr>
      <w:rPr>
        <w:rFonts w:ascii="Wingdings" w:hAnsi="Wingdings" w:hint="default"/>
      </w:rPr>
    </w:lvl>
    <w:lvl w:ilvl="3" w:tplc="A4D869EE" w:tentative="1">
      <w:start w:val="1"/>
      <w:numFmt w:val="bullet"/>
      <w:lvlText w:val=""/>
      <w:lvlJc w:val="left"/>
      <w:pPr>
        <w:ind w:left="2880" w:hanging="360"/>
      </w:pPr>
      <w:rPr>
        <w:rFonts w:ascii="Symbol" w:hAnsi="Symbol" w:hint="default"/>
      </w:rPr>
    </w:lvl>
    <w:lvl w:ilvl="4" w:tplc="56AC8FD8" w:tentative="1">
      <w:start w:val="1"/>
      <w:numFmt w:val="bullet"/>
      <w:lvlText w:val="o"/>
      <w:lvlJc w:val="left"/>
      <w:pPr>
        <w:ind w:left="3600" w:hanging="360"/>
      </w:pPr>
      <w:rPr>
        <w:rFonts w:ascii="Courier New" w:hAnsi="Courier New" w:cs="Courier New" w:hint="default"/>
      </w:rPr>
    </w:lvl>
    <w:lvl w:ilvl="5" w:tplc="D714D97A" w:tentative="1">
      <w:start w:val="1"/>
      <w:numFmt w:val="bullet"/>
      <w:lvlText w:val=""/>
      <w:lvlJc w:val="left"/>
      <w:pPr>
        <w:ind w:left="4320" w:hanging="360"/>
      </w:pPr>
      <w:rPr>
        <w:rFonts w:ascii="Wingdings" w:hAnsi="Wingdings" w:hint="default"/>
      </w:rPr>
    </w:lvl>
    <w:lvl w:ilvl="6" w:tplc="C2969594" w:tentative="1">
      <w:start w:val="1"/>
      <w:numFmt w:val="bullet"/>
      <w:lvlText w:val=""/>
      <w:lvlJc w:val="left"/>
      <w:pPr>
        <w:ind w:left="5040" w:hanging="360"/>
      </w:pPr>
      <w:rPr>
        <w:rFonts w:ascii="Symbol" w:hAnsi="Symbol" w:hint="default"/>
      </w:rPr>
    </w:lvl>
    <w:lvl w:ilvl="7" w:tplc="D30AD582" w:tentative="1">
      <w:start w:val="1"/>
      <w:numFmt w:val="bullet"/>
      <w:lvlText w:val="o"/>
      <w:lvlJc w:val="left"/>
      <w:pPr>
        <w:ind w:left="5760" w:hanging="360"/>
      </w:pPr>
      <w:rPr>
        <w:rFonts w:ascii="Courier New" w:hAnsi="Courier New" w:cs="Courier New" w:hint="default"/>
      </w:rPr>
    </w:lvl>
    <w:lvl w:ilvl="8" w:tplc="95A670B8" w:tentative="1">
      <w:start w:val="1"/>
      <w:numFmt w:val="bullet"/>
      <w:lvlText w:val=""/>
      <w:lvlJc w:val="left"/>
      <w:pPr>
        <w:ind w:left="6480" w:hanging="360"/>
      </w:pPr>
      <w:rPr>
        <w:rFonts w:ascii="Wingdings" w:hAnsi="Wingdings" w:hint="default"/>
      </w:rPr>
    </w:lvl>
  </w:abstractNum>
  <w:abstractNum w:abstractNumId="3" w15:restartNumberingAfterBreak="0">
    <w:nsid w:val="2A251776"/>
    <w:multiLevelType w:val="hybridMultilevel"/>
    <w:tmpl w:val="9D763040"/>
    <w:lvl w:ilvl="0" w:tplc="248A29DE">
      <w:start w:val="1"/>
      <w:numFmt w:val="bullet"/>
      <w:lvlText w:val=""/>
      <w:lvlJc w:val="left"/>
      <w:pPr>
        <w:ind w:left="795" w:hanging="360"/>
      </w:pPr>
      <w:rPr>
        <w:rFonts w:ascii="Symbol" w:hAnsi="Symbol" w:hint="default"/>
      </w:rPr>
    </w:lvl>
    <w:lvl w:ilvl="1" w:tplc="93000D3C" w:tentative="1">
      <w:start w:val="1"/>
      <w:numFmt w:val="bullet"/>
      <w:lvlText w:val="o"/>
      <w:lvlJc w:val="left"/>
      <w:pPr>
        <w:ind w:left="1515" w:hanging="360"/>
      </w:pPr>
      <w:rPr>
        <w:rFonts w:ascii="Courier New" w:hAnsi="Courier New" w:cs="Courier New" w:hint="default"/>
      </w:rPr>
    </w:lvl>
    <w:lvl w:ilvl="2" w:tplc="0E5AFA9E" w:tentative="1">
      <w:start w:val="1"/>
      <w:numFmt w:val="bullet"/>
      <w:lvlText w:val=""/>
      <w:lvlJc w:val="left"/>
      <w:pPr>
        <w:ind w:left="2235" w:hanging="360"/>
      </w:pPr>
      <w:rPr>
        <w:rFonts w:ascii="Wingdings" w:hAnsi="Wingdings" w:hint="default"/>
      </w:rPr>
    </w:lvl>
    <w:lvl w:ilvl="3" w:tplc="214CAB18" w:tentative="1">
      <w:start w:val="1"/>
      <w:numFmt w:val="bullet"/>
      <w:lvlText w:val=""/>
      <w:lvlJc w:val="left"/>
      <w:pPr>
        <w:ind w:left="2955" w:hanging="360"/>
      </w:pPr>
      <w:rPr>
        <w:rFonts w:ascii="Symbol" w:hAnsi="Symbol" w:hint="default"/>
      </w:rPr>
    </w:lvl>
    <w:lvl w:ilvl="4" w:tplc="4D66B8AA" w:tentative="1">
      <w:start w:val="1"/>
      <w:numFmt w:val="bullet"/>
      <w:lvlText w:val="o"/>
      <w:lvlJc w:val="left"/>
      <w:pPr>
        <w:ind w:left="3675" w:hanging="360"/>
      </w:pPr>
      <w:rPr>
        <w:rFonts w:ascii="Courier New" w:hAnsi="Courier New" w:cs="Courier New" w:hint="default"/>
      </w:rPr>
    </w:lvl>
    <w:lvl w:ilvl="5" w:tplc="F7DA2666" w:tentative="1">
      <w:start w:val="1"/>
      <w:numFmt w:val="bullet"/>
      <w:lvlText w:val=""/>
      <w:lvlJc w:val="left"/>
      <w:pPr>
        <w:ind w:left="4395" w:hanging="360"/>
      </w:pPr>
      <w:rPr>
        <w:rFonts w:ascii="Wingdings" w:hAnsi="Wingdings" w:hint="default"/>
      </w:rPr>
    </w:lvl>
    <w:lvl w:ilvl="6" w:tplc="5F70BDD4" w:tentative="1">
      <w:start w:val="1"/>
      <w:numFmt w:val="bullet"/>
      <w:lvlText w:val=""/>
      <w:lvlJc w:val="left"/>
      <w:pPr>
        <w:ind w:left="5115" w:hanging="360"/>
      </w:pPr>
      <w:rPr>
        <w:rFonts w:ascii="Symbol" w:hAnsi="Symbol" w:hint="default"/>
      </w:rPr>
    </w:lvl>
    <w:lvl w:ilvl="7" w:tplc="EBB2CFF6" w:tentative="1">
      <w:start w:val="1"/>
      <w:numFmt w:val="bullet"/>
      <w:lvlText w:val="o"/>
      <w:lvlJc w:val="left"/>
      <w:pPr>
        <w:ind w:left="5835" w:hanging="360"/>
      </w:pPr>
      <w:rPr>
        <w:rFonts w:ascii="Courier New" w:hAnsi="Courier New" w:cs="Courier New" w:hint="default"/>
      </w:rPr>
    </w:lvl>
    <w:lvl w:ilvl="8" w:tplc="9A785DCE" w:tentative="1">
      <w:start w:val="1"/>
      <w:numFmt w:val="bullet"/>
      <w:lvlText w:val=""/>
      <w:lvlJc w:val="left"/>
      <w:pPr>
        <w:ind w:left="6555" w:hanging="360"/>
      </w:pPr>
      <w:rPr>
        <w:rFonts w:ascii="Wingdings" w:hAnsi="Wingdings" w:hint="default"/>
      </w:rPr>
    </w:lvl>
  </w:abstractNum>
  <w:abstractNum w:abstractNumId="4" w15:restartNumberingAfterBreak="0">
    <w:nsid w:val="36D4289E"/>
    <w:multiLevelType w:val="hybridMultilevel"/>
    <w:tmpl w:val="F5F45266"/>
    <w:lvl w:ilvl="0" w:tplc="3E5CD41A">
      <w:start w:val="1"/>
      <w:numFmt w:val="decimal"/>
      <w:lvlText w:val="%1."/>
      <w:lvlJc w:val="left"/>
      <w:pPr>
        <w:ind w:left="1146" w:hanging="360"/>
      </w:pPr>
    </w:lvl>
    <w:lvl w:ilvl="1" w:tplc="7196EA32" w:tentative="1">
      <w:start w:val="1"/>
      <w:numFmt w:val="lowerLetter"/>
      <w:lvlText w:val="%2."/>
      <w:lvlJc w:val="left"/>
      <w:pPr>
        <w:ind w:left="1866" w:hanging="360"/>
      </w:pPr>
    </w:lvl>
    <w:lvl w:ilvl="2" w:tplc="FDCE9152" w:tentative="1">
      <w:start w:val="1"/>
      <w:numFmt w:val="lowerRoman"/>
      <w:lvlText w:val="%3."/>
      <w:lvlJc w:val="right"/>
      <w:pPr>
        <w:ind w:left="2586" w:hanging="180"/>
      </w:pPr>
    </w:lvl>
    <w:lvl w:ilvl="3" w:tplc="81EE0E00" w:tentative="1">
      <w:start w:val="1"/>
      <w:numFmt w:val="decimal"/>
      <w:lvlText w:val="%4."/>
      <w:lvlJc w:val="left"/>
      <w:pPr>
        <w:ind w:left="3306" w:hanging="360"/>
      </w:pPr>
    </w:lvl>
    <w:lvl w:ilvl="4" w:tplc="53568B50" w:tentative="1">
      <w:start w:val="1"/>
      <w:numFmt w:val="lowerLetter"/>
      <w:lvlText w:val="%5."/>
      <w:lvlJc w:val="left"/>
      <w:pPr>
        <w:ind w:left="4026" w:hanging="360"/>
      </w:pPr>
    </w:lvl>
    <w:lvl w:ilvl="5" w:tplc="0AC0A50E" w:tentative="1">
      <w:start w:val="1"/>
      <w:numFmt w:val="lowerRoman"/>
      <w:lvlText w:val="%6."/>
      <w:lvlJc w:val="right"/>
      <w:pPr>
        <w:ind w:left="4746" w:hanging="180"/>
      </w:pPr>
    </w:lvl>
    <w:lvl w:ilvl="6" w:tplc="BDFC05A2" w:tentative="1">
      <w:start w:val="1"/>
      <w:numFmt w:val="decimal"/>
      <w:lvlText w:val="%7."/>
      <w:lvlJc w:val="left"/>
      <w:pPr>
        <w:ind w:left="5466" w:hanging="360"/>
      </w:pPr>
    </w:lvl>
    <w:lvl w:ilvl="7" w:tplc="6D5E3F0A" w:tentative="1">
      <w:start w:val="1"/>
      <w:numFmt w:val="lowerLetter"/>
      <w:lvlText w:val="%8."/>
      <w:lvlJc w:val="left"/>
      <w:pPr>
        <w:ind w:left="6186" w:hanging="360"/>
      </w:pPr>
    </w:lvl>
    <w:lvl w:ilvl="8" w:tplc="EE54A56C" w:tentative="1">
      <w:start w:val="1"/>
      <w:numFmt w:val="lowerRoman"/>
      <w:lvlText w:val="%9."/>
      <w:lvlJc w:val="right"/>
      <w:pPr>
        <w:ind w:left="6906" w:hanging="180"/>
      </w:pPr>
    </w:lvl>
  </w:abstractNum>
  <w:abstractNum w:abstractNumId="5" w15:restartNumberingAfterBreak="0">
    <w:nsid w:val="56013D28"/>
    <w:multiLevelType w:val="hybridMultilevel"/>
    <w:tmpl w:val="A788AF26"/>
    <w:lvl w:ilvl="0" w:tplc="4372D13C">
      <w:start w:val="1"/>
      <w:numFmt w:val="decimal"/>
      <w:lvlText w:val="%1."/>
      <w:lvlJc w:val="left"/>
      <w:pPr>
        <w:ind w:left="720" w:hanging="360"/>
      </w:pPr>
      <w:rPr>
        <w:rFonts w:hint="default"/>
      </w:rPr>
    </w:lvl>
    <w:lvl w:ilvl="1" w:tplc="757A4CC4" w:tentative="1">
      <w:start w:val="1"/>
      <w:numFmt w:val="lowerLetter"/>
      <w:lvlText w:val="%2."/>
      <w:lvlJc w:val="left"/>
      <w:pPr>
        <w:ind w:left="1440" w:hanging="360"/>
      </w:pPr>
    </w:lvl>
    <w:lvl w:ilvl="2" w:tplc="61125A2A" w:tentative="1">
      <w:start w:val="1"/>
      <w:numFmt w:val="lowerRoman"/>
      <w:lvlText w:val="%3."/>
      <w:lvlJc w:val="right"/>
      <w:pPr>
        <w:ind w:left="2160" w:hanging="180"/>
      </w:pPr>
    </w:lvl>
    <w:lvl w:ilvl="3" w:tplc="7256AFCE" w:tentative="1">
      <w:start w:val="1"/>
      <w:numFmt w:val="decimal"/>
      <w:lvlText w:val="%4."/>
      <w:lvlJc w:val="left"/>
      <w:pPr>
        <w:ind w:left="2880" w:hanging="360"/>
      </w:pPr>
    </w:lvl>
    <w:lvl w:ilvl="4" w:tplc="07049A94" w:tentative="1">
      <w:start w:val="1"/>
      <w:numFmt w:val="lowerLetter"/>
      <w:lvlText w:val="%5."/>
      <w:lvlJc w:val="left"/>
      <w:pPr>
        <w:ind w:left="3600" w:hanging="360"/>
      </w:pPr>
    </w:lvl>
    <w:lvl w:ilvl="5" w:tplc="C3EA861A" w:tentative="1">
      <w:start w:val="1"/>
      <w:numFmt w:val="lowerRoman"/>
      <w:lvlText w:val="%6."/>
      <w:lvlJc w:val="right"/>
      <w:pPr>
        <w:ind w:left="4320" w:hanging="180"/>
      </w:pPr>
    </w:lvl>
    <w:lvl w:ilvl="6" w:tplc="2BA0DD40" w:tentative="1">
      <w:start w:val="1"/>
      <w:numFmt w:val="decimal"/>
      <w:lvlText w:val="%7."/>
      <w:lvlJc w:val="left"/>
      <w:pPr>
        <w:ind w:left="5040" w:hanging="360"/>
      </w:pPr>
    </w:lvl>
    <w:lvl w:ilvl="7" w:tplc="78548AC2" w:tentative="1">
      <w:start w:val="1"/>
      <w:numFmt w:val="lowerLetter"/>
      <w:lvlText w:val="%8."/>
      <w:lvlJc w:val="left"/>
      <w:pPr>
        <w:ind w:left="5760" w:hanging="360"/>
      </w:pPr>
    </w:lvl>
    <w:lvl w:ilvl="8" w:tplc="B15A3664" w:tentative="1">
      <w:start w:val="1"/>
      <w:numFmt w:val="lowerRoman"/>
      <w:lvlText w:val="%9."/>
      <w:lvlJc w:val="right"/>
      <w:pPr>
        <w:ind w:left="6480" w:hanging="180"/>
      </w:pPr>
    </w:lvl>
  </w:abstractNum>
  <w:abstractNum w:abstractNumId="6" w15:restartNumberingAfterBreak="0">
    <w:nsid w:val="624D7E01"/>
    <w:multiLevelType w:val="hybridMultilevel"/>
    <w:tmpl w:val="70F28324"/>
    <w:lvl w:ilvl="0" w:tplc="D504AEBE">
      <w:start w:val="1"/>
      <w:numFmt w:val="bullet"/>
      <w:lvlText w:val=""/>
      <w:lvlJc w:val="left"/>
      <w:pPr>
        <w:ind w:left="1146" w:hanging="360"/>
      </w:pPr>
      <w:rPr>
        <w:rFonts w:ascii="Symbol" w:hAnsi="Symbol" w:hint="default"/>
      </w:rPr>
    </w:lvl>
    <w:lvl w:ilvl="1" w:tplc="61707864" w:tentative="1">
      <w:start w:val="1"/>
      <w:numFmt w:val="bullet"/>
      <w:lvlText w:val="o"/>
      <w:lvlJc w:val="left"/>
      <w:pPr>
        <w:ind w:left="1866" w:hanging="360"/>
      </w:pPr>
      <w:rPr>
        <w:rFonts w:ascii="Courier New" w:hAnsi="Courier New" w:cs="Courier New" w:hint="default"/>
      </w:rPr>
    </w:lvl>
    <w:lvl w:ilvl="2" w:tplc="1DD492C6" w:tentative="1">
      <w:start w:val="1"/>
      <w:numFmt w:val="bullet"/>
      <w:lvlText w:val=""/>
      <w:lvlJc w:val="left"/>
      <w:pPr>
        <w:ind w:left="2586" w:hanging="360"/>
      </w:pPr>
      <w:rPr>
        <w:rFonts w:ascii="Wingdings" w:hAnsi="Wingdings" w:hint="default"/>
      </w:rPr>
    </w:lvl>
    <w:lvl w:ilvl="3" w:tplc="31B2EF50" w:tentative="1">
      <w:start w:val="1"/>
      <w:numFmt w:val="bullet"/>
      <w:lvlText w:val=""/>
      <w:lvlJc w:val="left"/>
      <w:pPr>
        <w:ind w:left="3306" w:hanging="360"/>
      </w:pPr>
      <w:rPr>
        <w:rFonts w:ascii="Symbol" w:hAnsi="Symbol" w:hint="default"/>
      </w:rPr>
    </w:lvl>
    <w:lvl w:ilvl="4" w:tplc="94B42628" w:tentative="1">
      <w:start w:val="1"/>
      <w:numFmt w:val="bullet"/>
      <w:lvlText w:val="o"/>
      <w:lvlJc w:val="left"/>
      <w:pPr>
        <w:ind w:left="4026" w:hanging="360"/>
      </w:pPr>
      <w:rPr>
        <w:rFonts w:ascii="Courier New" w:hAnsi="Courier New" w:cs="Courier New" w:hint="default"/>
      </w:rPr>
    </w:lvl>
    <w:lvl w:ilvl="5" w:tplc="411675A6" w:tentative="1">
      <w:start w:val="1"/>
      <w:numFmt w:val="bullet"/>
      <w:lvlText w:val=""/>
      <w:lvlJc w:val="left"/>
      <w:pPr>
        <w:ind w:left="4746" w:hanging="360"/>
      </w:pPr>
      <w:rPr>
        <w:rFonts w:ascii="Wingdings" w:hAnsi="Wingdings" w:hint="default"/>
      </w:rPr>
    </w:lvl>
    <w:lvl w:ilvl="6" w:tplc="CBE46370" w:tentative="1">
      <w:start w:val="1"/>
      <w:numFmt w:val="bullet"/>
      <w:lvlText w:val=""/>
      <w:lvlJc w:val="left"/>
      <w:pPr>
        <w:ind w:left="5466" w:hanging="360"/>
      </w:pPr>
      <w:rPr>
        <w:rFonts w:ascii="Symbol" w:hAnsi="Symbol" w:hint="default"/>
      </w:rPr>
    </w:lvl>
    <w:lvl w:ilvl="7" w:tplc="545A696E" w:tentative="1">
      <w:start w:val="1"/>
      <w:numFmt w:val="bullet"/>
      <w:lvlText w:val="o"/>
      <w:lvlJc w:val="left"/>
      <w:pPr>
        <w:ind w:left="6186" w:hanging="360"/>
      </w:pPr>
      <w:rPr>
        <w:rFonts w:ascii="Courier New" w:hAnsi="Courier New" w:cs="Courier New" w:hint="default"/>
      </w:rPr>
    </w:lvl>
    <w:lvl w:ilvl="8" w:tplc="2F66C7DA" w:tentative="1">
      <w:start w:val="1"/>
      <w:numFmt w:val="bullet"/>
      <w:lvlText w:val=""/>
      <w:lvlJc w:val="left"/>
      <w:pPr>
        <w:ind w:left="6906" w:hanging="360"/>
      </w:pPr>
      <w:rPr>
        <w:rFonts w:ascii="Wingdings" w:hAnsi="Wingdings" w:hint="default"/>
      </w:rPr>
    </w:lvl>
  </w:abstractNum>
  <w:abstractNum w:abstractNumId="7" w15:restartNumberingAfterBreak="0">
    <w:nsid w:val="694F3F9D"/>
    <w:multiLevelType w:val="hybridMultilevel"/>
    <w:tmpl w:val="652E353C"/>
    <w:lvl w:ilvl="0" w:tplc="5E4611B8">
      <w:start w:val="1"/>
      <w:numFmt w:val="lowerLetter"/>
      <w:lvlText w:val="%1."/>
      <w:lvlJc w:val="left"/>
      <w:pPr>
        <w:ind w:left="720" w:hanging="360"/>
      </w:pPr>
      <w:rPr>
        <w:rFonts w:hint="default"/>
      </w:rPr>
    </w:lvl>
    <w:lvl w:ilvl="1" w:tplc="0BECE052" w:tentative="1">
      <w:start w:val="1"/>
      <w:numFmt w:val="lowerLetter"/>
      <w:lvlText w:val="%2."/>
      <w:lvlJc w:val="left"/>
      <w:pPr>
        <w:ind w:left="1440" w:hanging="360"/>
      </w:pPr>
    </w:lvl>
    <w:lvl w:ilvl="2" w:tplc="547EC776" w:tentative="1">
      <w:start w:val="1"/>
      <w:numFmt w:val="lowerRoman"/>
      <w:lvlText w:val="%3."/>
      <w:lvlJc w:val="right"/>
      <w:pPr>
        <w:ind w:left="2160" w:hanging="180"/>
      </w:pPr>
    </w:lvl>
    <w:lvl w:ilvl="3" w:tplc="B858C1CC" w:tentative="1">
      <w:start w:val="1"/>
      <w:numFmt w:val="decimal"/>
      <w:lvlText w:val="%4."/>
      <w:lvlJc w:val="left"/>
      <w:pPr>
        <w:ind w:left="2880" w:hanging="360"/>
      </w:pPr>
    </w:lvl>
    <w:lvl w:ilvl="4" w:tplc="229C152E" w:tentative="1">
      <w:start w:val="1"/>
      <w:numFmt w:val="lowerLetter"/>
      <w:lvlText w:val="%5."/>
      <w:lvlJc w:val="left"/>
      <w:pPr>
        <w:ind w:left="3600" w:hanging="360"/>
      </w:pPr>
    </w:lvl>
    <w:lvl w:ilvl="5" w:tplc="0E066240" w:tentative="1">
      <w:start w:val="1"/>
      <w:numFmt w:val="lowerRoman"/>
      <w:lvlText w:val="%6."/>
      <w:lvlJc w:val="right"/>
      <w:pPr>
        <w:ind w:left="4320" w:hanging="180"/>
      </w:pPr>
    </w:lvl>
    <w:lvl w:ilvl="6" w:tplc="8E7A5746" w:tentative="1">
      <w:start w:val="1"/>
      <w:numFmt w:val="decimal"/>
      <w:lvlText w:val="%7."/>
      <w:lvlJc w:val="left"/>
      <w:pPr>
        <w:ind w:left="5040" w:hanging="360"/>
      </w:pPr>
    </w:lvl>
    <w:lvl w:ilvl="7" w:tplc="843086CC" w:tentative="1">
      <w:start w:val="1"/>
      <w:numFmt w:val="lowerLetter"/>
      <w:lvlText w:val="%8."/>
      <w:lvlJc w:val="left"/>
      <w:pPr>
        <w:ind w:left="5760" w:hanging="360"/>
      </w:pPr>
    </w:lvl>
    <w:lvl w:ilvl="8" w:tplc="A6742E78" w:tentative="1">
      <w:start w:val="1"/>
      <w:numFmt w:val="lowerRoman"/>
      <w:lvlText w:val="%9."/>
      <w:lvlJc w:val="right"/>
      <w:pPr>
        <w:ind w:left="6480" w:hanging="180"/>
      </w:pPr>
    </w:lvl>
  </w:abstractNum>
  <w:abstractNum w:abstractNumId="8" w15:restartNumberingAfterBreak="0">
    <w:nsid w:val="6B1E3B4A"/>
    <w:multiLevelType w:val="hybridMultilevel"/>
    <w:tmpl w:val="6C92AF24"/>
    <w:lvl w:ilvl="0" w:tplc="236EBFC4">
      <w:start w:val="1"/>
      <w:numFmt w:val="bullet"/>
      <w:lvlText w:val=""/>
      <w:lvlJc w:val="left"/>
      <w:pPr>
        <w:ind w:left="720" w:hanging="360"/>
      </w:pPr>
      <w:rPr>
        <w:rFonts w:ascii="Symbol" w:hAnsi="Symbol" w:hint="default"/>
      </w:rPr>
    </w:lvl>
    <w:lvl w:ilvl="1" w:tplc="7870DAA2" w:tentative="1">
      <w:start w:val="1"/>
      <w:numFmt w:val="bullet"/>
      <w:lvlText w:val="o"/>
      <w:lvlJc w:val="left"/>
      <w:pPr>
        <w:ind w:left="1440" w:hanging="360"/>
      </w:pPr>
      <w:rPr>
        <w:rFonts w:ascii="Courier New" w:hAnsi="Courier New" w:cs="Courier New" w:hint="default"/>
      </w:rPr>
    </w:lvl>
    <w:lvl w:ilvl="2" w:tplc="F4F290B2" w:tentative="1">
      <w:start w:val="1"/>
      <w:numFmt w:val="bullet"/>
      <w:lvlText w:val=""/>
      <w:lvlJc w:val="left"/>
      <w:pPr>
        <w:ind w:left="2160" w:hanging="360"/>
      </w:pPr>
      <w:rPr>
        <w:rFonts w:ascii="Wingdings" w:hAnsi="Wingdings" w:hint="default"/>
      </w:rPr>
    </w:lvl>
    <w:lvl w:ilvl="3" w:tplc="A3462000" w:tentative="1">
      <w:start w:val="1"/>
      <w:numFmt w:val="bullet"/>
      <w:lvlText w:val=""/>
      <w:lvlJc w:val="left"/>
      <w:pPr>
        <w:ind w:left="2880" w:hanging="360"/>
      </w:pPr>
      <w:rPr>
        <w:rFonts w:ascii="Symbol" w:hAnsi="Symbol" w:hint="default"/>
      </w:rPr>
    </w:lvl>
    <w:lvl w:ilvl="4" w:tplc="F10E6F70" w:tentative="1">
      <w:start w:val="1"/>
      <w:numFmt w:val="bullet"/>
      <w:lvlText w:val="o"/>
      <w:lvlJc w:val="left"/>
      <w:pPr>
        <w:ind w:left="3600" w:hanging="360"/>
      </w:pPr>
      <w:rPr>
        <w:rFonts w:ascii="Courier New" w:hAnsi="Courier New" w:cs="Courier New" w:hint="default"/>
      </w:rPr>
    </w:lvl>
    <w:lvl w:ilvl="5" w:tplc="BA9EC794" w:tentative="1">
      <w:start w:val="1"/>
      <w:numFmt w:val="bullet"/>
      <w:lvlText w:val=""/>
      <w:lvlJc w:val="left"/>
      <w:pPr>
        <w:ind w:left="4320" w:hanging="360"/>
      </w:pPr>
      <w:rPr>
        <w:rFonts w:ascii="Wingdings" w:hAnsi="Wingdings" w:hint="default"/>
      </w:rPr>
    </w:lvl>
    <w:lvl w:ilvl="6" w:tplc="F0F0A5C2" w:tentative="1">
      <w:start w:val="1"/>
      <w:numFmt w:val="bullet"/>
      <w:lvlText w:val=""/>
      <w:lvlJc w:val="left"/>
      <w:pPr>
        <w:ind w:left="5040" w:hanging="360"/>
      </w:pPr>
      <w:rPr>
        <w:rFonts w:ascii="Symbol" w:hAnsi="Symbol" w:hint="default"/>
      </w:rPr>
    </w:lvl>
    <w:lvl w:ilvl="7" w:tplc="ABE4F96C" w:tentative="1">
      <w:start w:val="1"/>
      <w:numFmt w:val="bullet"/>
      <w:lvlText w:val="o"/>
      <w:lvlJc w:val="left"/>
      <w:pPr>
        <w:ind w:left="5760" w:hanging="360"/>
      </w:pPr>
      <w:rPr>
        <w:rFonts w:ascii="Courier New" w:hAnsi="Courier New" w:cs="Courier New" w:hint="default"/>
      </w:rPr>
    </w:lvl>
    <w:lvl w:ilvl="8" w:tplc="2FFADB64" w:tentative="1">
      <w:start w:val="1"/>
      <w:numFmt w:val="bullet"/>
      <w:lvlText w:val=""/>
      <w:lvlJc w:val="left"/>
      <w:pPr>
        <w:ind w:left="6480" w:hanging="360"/>
      </w:pPr>
      <w:rPr>
        <w:rFonts w:ascii="Wingdings" w:hAnsi="Wingdings" w:hint="default"/>
      </w:rPr>
    </w:lvl>
  </w:abstractNum>
  <w:abstractNum w:abstractNumId="9" w15:restartNumberingAfterBreak="0">
    <w:nsid w:val="6F5E4AD0"/>
    <w:multiLevelType w:val="hybridMultilevel"/>
    <w:tmpl w:val="B42A5DD0"/>
    <w:lvl w:ilvl="0" w:tplc="994EBD22">
      <w:start w:val="1"/>
      <w:numFmt w:val="bullet"/>
      <w:lvlText w:val=""/>
      <w:lvlJc w:val="left"/>
      <w:pPr>
        <w:ind w:left="720" w:hanging="360"/>
      </w:pPr>
      <w:rPr>
        <w:rFonts w:ascii="Symbol" w:hAnsi="Symbol" w:hint="default"/>
      </w:rPr>
    </w:lvl>
    <w:lvl w:ilvl="1" w:tplc="6D1646FA" w:tentative="1">
      <w:start w:val="1"/>
      <w:numFmt w:val="bullet"/>
      <w:lvlText w:val="o"/>
      <w:lvlJc w:val="left"/>
      <w:pPr>
        <w:ind w:left="1440" w:hanging="360"/>
      </w:pPr>
      <w:rPr>
        <w:rFonts w:ascii="Courier New" w:hAnsi="Courier New" w:cs="Courier New" w:hint="default"/>
      </w:rPr>
    </w:lvl>
    <w:lvl w:ilvl="2" w:tplc="3C9CBE02" w:tentative="1">
      <w:start w:val="1"/>
      <w:numFmt w:val="bullet"/>
      <w:lvlText w:val=""/>
      <w:lvlJc w:val="left"/>
      <w:pPr>
        <w:ind w:left="2160" w:hanging="360"/>
      </w:pPr>
      <w:rPr>
        <w:rFonts w:ascii="Wingdings" w:hAnsi="Wingdings" w:hint="default"/>
      </w:rPr>
    </w:lvl>
    <w:lvl w:ilvl="3" w:tplc="D136C5A8" w:tentative="1">
      <w:start w:val="1"/>
      <w:numFmt w:val="bullet"/>
      <w:lvlText w:val=""/>
      <w:lvlJc w:val="left"/>
      <w:pPr>
        <w:ind w:left="2880" w:hanging="360"/>
      </w:pPr>
      <w:rPr>
        <w:rFonts w:ascii="Symbol" w:hAnsi="Symbol" w:hint="default"/>
      </w:rPr>
    </w:lvl>
    <w:lvl w:ilvl="4" w:tplc="7B96BCCC" w:tentative="1">
      <w:start w:val="1"/>
      <w:numFmt w:val="bullet"/>
      <w:lvlText w:val="o"/>
      <w:lvlJc w:val="left"/>
      <w:pPr>
        <w:ind w:left="3600" w:hanging="360"/>
      </w:pPr>
      <w:rPr>
        <w:rFonts w:ascii="Courier New" w:hAnsi="Courier New" w:cs="Courier New" w:hint="default"/>
      </w:rPr>
    </w:lvl>
    <w:lvl w:ilvl="5" w:tplc="8DC09518" w:tentative="1">
      <w:start w:val="1"/>
      <w:numFmt w:val="bullet"/>
      <w:lvlText w:val=""/>
      <w:lvlJc w:val="left"/>
      <w:pPr>
        <w:ind w:left="4320" w:hanging="360"/>
      </w:pPr>
      <w:rPr>
        <w:rFonts w:ascii="Wingdings" w:hAnsi="Wingdings" w:hint="default"/>
      </w:rPr>
    </w:lvl>
    <w:lvl w:ilvl="6" w:tplc="50C2B07A" w:tentative="1">
      <w:start w:val="1"/>
      <w:numFmt w:val="bullet"/>
      <w:lvlText w:val=""/>
      <w:lvlJc w:val="left"/>
      <w:pPr>
        <w:ind w:left="5040" w:hanging="360"/>
      </w:pPr>
      <w:rPr>
        <w:rFonts w:ascii="Symbol" w:hAnsi="Symbol" w:hint="default"/>
      </w:rPr>
    </w:lvl>
    <w:lvl w:ilvl="7" w:tplc="D6CCD9F2" w:tentative="1">
      <w:start w:val="1"/>
      <w:numFmt w:val="bullet"/>
      <w:lvlText w:val="o"/>
      <w:lvlJc w:val="left"/>
      <w:pPr>
        <w:ind w:left="5760" w:hanging="360"/>
      </w:pPr>
      <w:rPr>
        <w:rFonts w:ascii="Courier New" w:hAnsi="Courier New" w:cs="Courier New" w:hint="default"/>
      </w:rPr>
    </w:lvl>
    <w:lvl w:ilvl="8" w:tplc="A014BAC2" w:tentative="1">
      <w:start w:val="1"/>
      <w:numFmt w:val="bullet"/>
      <w:lvlText w:val=""/>
      <w:lvlJc w:val="left"/>
      <w:pPr>
        <w:ind w:left="6480" w:hanging="360"/>
      </w:pPr>
      <w:rPr>
        <w:rFonts w:ascii="Wingdings" w:hAnsi="Wingdings" w:hint="default"/>
      </w:rPr>
    </w:lvl>
  </w:abstractNum>
  <w:abstractNum w:abstractNumId="10" w15:restartNumberingAfterBreak="0">
    <w:nsid w:val="798713A6"/>
    <w:multiLevelType w:val="hybridMultilevel"/>
    <w:tmpl w:val="31724CFE"/>
    <w:lvl w:ilvl="0" w:tplc="1ED2D692">
      <w:start w:val="1"/>
      <w:numFmt w:val="bullet"/>
      <w:lvlText w:val=""/>
      <w:lvlJc w:val="left"/>
      <w:pPr>
        <w:ind w:left="780" w:hanging="360"/>
      </w:pPr>
      <w:rPr>
        <w:rFonts w:ascii="Symbol" w:hAnsi="Symbol" w:hint="default"/>
      </w:rPr>
    </w:lvl>
    <w:lvl w:ilvl="1" w:tplc="258E338A" w:tentative="1">
      <w:start w:val="1"/>
      <w:numFmt w:val="bullet"/>
      <w:lvlText w:val="o"/>
      <w:lvlJc w:val="left"/>
      <w:pPr>
        <w:ind w:left="1500" w:hanging="360"/>
      </w:pPr>
      <w:rPr>
        <w:rFonts w:ascii="Courier New" w:hAnsi="Courier New" w:cs="Courier New" w:hint="default"/>
      </w:rPr>
    </w:lvl>
    <w:lvl w:ilvl="2" w:tplc="B97672AC" w:tentative="1">
      <w:start w:val="1"/>
      <w:numFmt w:val="bullet"/>
      <w:lvlText w:val=""/>
      <w:lvlJc w:val="left"/>
      <w:pPr>
        <w:ind w:left="2220" w:hanging="360"/>
      </w:pPr>
      <w:rPr>
        <w:rFonts w:ascii="Wingdings" w:hAnsi="Wingdings" w:hint="default"/>
      </w:rPr>
    </w:lvl>
    <w:lvl w:ilvl="3" w:tplc="CE3ECFD8" w:tentative="1">
      <w:start w:val="1"/>
      <w:numFmt w:val="bullet"/>
      <w:lvlText w:val=""/>
      <w:lvlJc w:val="left"/>
      <w:pPr>
        <w:ind w:left="2940" w:hanging="360"/>
      </w:pPr>
      <w:rPr>
        <w:rFonts w:ascii="Symbol" w:hAnsi="Symbol" w:hint="default"/>
      </w:rPr>
    </w:lvl>
    <w:lvl w:ilvl="4" w:tplc="27DA519E" w:tentative="1">
      <w:start w:val="1"/>
      <w:numFmt w:val="bullet"/>
      <w:lvlText w:val="o"/>
      <w:lvlJc w:val="left"/>
      <w:pPr>
        <w:ind w:left="3660" w:hanging="360"/>
      </w:pPr>
      <w:rPr>
        <w:rFonts w:ascii="Courier New" w:hAnsi="Courier New" w:cs="Courier New" w:hint="default"/>
      </w:rPr>
    </w:lvl>
    <w:lvl w:ilvl="5" w:tplc="77CAEDE8" w:tentative="1">
      <w:start w:val="1"/>
      <w:numFmt w:val="bullet"/>
      <w:lvlText w:val=""/>
      <w:lvlJc w:val="left"/>
      <w:pPr>
        <w:ind w:left="4380" w:hanging="360"/>
      </w:pPr>
      <w:rPr>
        <w:rFonts w:ascii="Wingdings" w:hAnsi="Wingdings" w:hint="default"/>
      </w:rPr>
    </w:lvl>
    <w:lvl w:ilvl="6" w:tplc="969C5DA8" w:tentative="1">
      <w:start w:val="1"/>
      <w:numFmt w:val="bullet"/>
      <w:lvlText w:val=""/>
      <w:lvlJc w:val="left"/>
      <w:pPr>
        <w:ind w:left="5100" w:hanging="360"/>
      </w:pPr>
      <w:rPr>
        <w:rFonts w:ascii="Symbol" w:hAnsi="Symbol" w:hint="default"/>
      </w:rPr>
    </w:lvl>
    <w:lvl w:ilvl="7" w:tplc="56C07A94" w:tentative="1">
      <w:start w:val="1"/>
      <w:numFmt w:val="bullet"/>
      <w:lvlText w:val="o"/>
      <w:lvlJc w:val="left"/>
      <w:pPr>
        <w:ind w:left="5820" w:hanging="360"/>
      </w:pPr>
      <w:rPr>
        <w:rFonts w:ascii="Courier New" w:hAnsi="Courier New" w:cs="Courier New" w:hint="default"/>
      </w:rPr>
    </w:lvl>
    <w:lvl w:ilvl="8" w:tplc="2732278C" w:tentative="1">
      <w:start w:val="1"/>
      <w:numFmt w:val="bullet"/>
      <w:lvlText w:val=""/>
      <w:lvlJc w:val="left"/>
      <w:pPr>
        <w:ind w:left="6540" w:hanging="360"/>
      </w:pPr>
      <w:rPr>
        <w:rFonts w:ascii="Wingdings" w:hAnsi="Wingdings" w:hint="default"/>
      </w:rPr>
    </w:lvl>
  </w:abstractNum>
  <w:abstractNum w:abstractNumId="11" w15:restartNumberingAfterBreak="0">
    <w:nsid w:val="7E8C07CD"/>
    <w:multiLevelType w:val="hybridMultilevel"/>
    <w:tmpl w:val="BC6AE09C"/>
    <w:lvl w:ilvl="0" w:tplc="71A06EE0">
      <w:start w:val="1"/>
      <w:numFmt w:val="bullet"/>
      <w:lvlText w:val=""/>
      <w:lvlJc w:val="left"/>
      <w:pPr>
        <w:ind w:left="720" w:hanging="360"/>
      </w:pPr>
      <w:rPr>
        <w:rFonts w:ascii="Symbol" w:hAnsi="Symbol" w:hint="default"/>
      </w:rPr>
    </w:lvl>
    <w:lvl w:ilvl="1" w:tplc="E9C8538E" w:tentative="1">
      <w:start w:val="1"/>
      <w:numFmt w:val="bullet"/>
      <w:lvlText w:val="o"/>
      <w:lvlJc w:val="left"/>
      <w:pPr>
        <w:ind w:left="1440" w:hanging="360"/>
      </w:pPr>
      <w:rPr>
        <w:rFonts w:ascii="Courier New" w:hAnsi="Courier New" w:cs="Courier New" w:hint="default"/>
      </w:rPr>
    </w:lvl>
    <w:lvl w:ilvl="2" w:tplc="F0E655E4" w:tentative="1">
      <w:start w:val="1"/>
      <w:numFmt w:val="bullet"/>
      <w:lvlText w:val=""/>
      <w:lvlJc w:val="left"/>
      <w:pPr>
        <w:ind w:left="2160" w:hanging="360"/>
      </w:pPr>
      <w:rPr>
        <w:rFonts w:ascii="Wingdings" w:hAnsi="Wingdings" w:hint="default"/>
      </w:rPr>
    </w:lvl>
    <w:lvl w:ilvl="3" w:tplc="8120182E" w:tentative="1">
      <w:start w:val="1"/>
      <w:numFmt w:val="bullet"/>
      <w:lvlText w:val=""/>
      <w:lvlJc w:val="left"/>
      <w:pPr>
        <w:ind w:left="2880" w:hanging="360"/>
      </w:pPr>
      <w:rPr>
        <w:rFonts w:ascii="Symbol" w:hAnsi="Symbol" w:hint="default"/>
      </w:rPr>
    </w:lvl>
    <w:lvl w:ilvl="4" w:tplc="E58CC946" w:tentative="1">
      <w:start w:val="1"/>
      <w:numFmt w:val="bullet"/>
      <w:lvlText w:val="o"/>
      <w:lvlJc w:val="left"/>
      <w:pPr>
        <w:ind w:left="3600" w:hanging="360"/>
      </w:pPr>
      <w:rPr>
        <w:rFonts w:ascii="Courier New" w:hAnsi="Courier New" w:cs="Courier New" w:hint="default"/>
      </w:rPr>
    </w:lvl>
    <w:lvl w:ilvl="5" w:tplc="336C456C" w:tentative="1">
      <w:start w:val="1"/>
      <w:numFmt w:val="bullet"/>
      <w:lvlText w:val=""/>
      <w:lvlJc w:val="left"/>
      <w:pPr>
        <w:ind w:left="4320" w:hanging="360"/>
      </w:pPr>
      <w:rPr>
        <w:rFonts w:ascii="Wingdings" w:hAnsi="Wingdings" w:hint="default"/>
      </w:rPr>
    </w:lvl>
    <w:lvl w:ilvl="6" w:tplc="AC38899A" w:tentative="1">
      <w:start w:val="1"/>
      <w:numFmt w:val="bullet"/>
      <w:lvlText w:val=""/>
      <w:lvlJc w:val="left"/>
      <w:pPr>
        <w:ind w:left="5040" w:hanging="360"/>
      </w:pPr>
      <w:rPr>
        <w:rFonts w:ascii="Symbol" w:hAnsi="Symbol" w:hint="default"/>
      </w:rPr>
    </w:lvl>
    <w:lvl w:ilvl="7" w:tplc="3BBE5C5E" w:tentative="1">
      <w:start w:val="1"/>
      <w:numFmt w:val="bullet"/>
      <w:lvlText w:val="o"/>
      <w:lvlJc w:val="left"/>
      <w:pPr>
        <w:ind w:left="5760" w:hanging="360"/>
      </w:pPr>
      <w:rPr>
        <w:rFonts w:ascii="Courier New" w:hAnsi="Courier New" w:cs="Courier New" w:hint="default"/>
      </w:rPr>
    </w:lvl>
    <w:lvl w:ilvl="8" w:tplc="1B7A73DA"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3"/>
  </w:num>
  <w:num w:numId="4">
    <w:abstractNumId w:val="2"/>
  </w:num>
  <w:num w:numId="5">
    <w:abstractNumId w:val="8"/>
  </w:num>
  <w:num w:numId="6">
    <w:abstractNumId w:val="5"/>
  </w:num>
  <w:num w:numId="7">
    <w:abstractNumId w:val="7"/>
  </w:num>
  <w:num w:numId="8">
    <w:abstractNumId w:val="10"/>
  </w:num>
  <w:num w:numId="9">
    <w:abstractNumId w:val="6"/>
  </w:num>
  <w:num w:numId="10">
    <w:abstractNumId w:val="11"/>
  </w:num>
  <w:num w:numId="11">
    <w:abstractNumId w:val="0"/>
  </w:num>
  <w:num w:numId="12">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QwNDAxtTQwtjQ1NjdX0lEKTi0uzszPAykwrQUAlgMLuCwAAAA="/>
  </w:docVars>
  <w:rsids>
    <w:rsidRoot w:val="00931FD1"/>
    <w:rsid w:val="000005F3"/>
    <w:rsid w:val="00076662"/>
    <w:rsid w:val="000949E1"/>
    <w:rsid w:val="000958B3"/>
    <w:rsid w:val="000A42D7"/>
    <w:rsid w:val="000B5092"/>
    <w:rsid w:val="000D2372"/>
    <w:rsid w:val="000D3A0C"/>
    <w:rsid w:val="000F6E02"/>
    <w:rsid w:val="001160DA"/>
    <w:rsid w:val="00124B38"/>
    <w:rsid w:val="00137397"/>
    <w:rsid w:val="0014663C"/>
    <w:rsid w:val="00155965"/>
    <w:rsid w:val="00166A88"/>
    <w:rsid w:val="0016714A"/>
    <w:rsid w:val="00172EE0"/>
    <w:rsid w:val="001810AB"/>
    <w:rsid w:val="00182BC9"/>
    <w:rsid w:val="00186D77"/>
    <w:rsid w:val="0019405D"/>
    <w:rsid w:val="001A38D2"/>
    <w:rsid w:val="001A464B"/>
    <w:rsid w:val="001C61F9"/>
    <w:rsid w:val="001E1F8D"/>
    <w:rsid w:val="001F7F11"/>
    <w:rsid w:val="00200D9C"/>
    <w:rsid w:val="00204301"/>
    <w:rsid w:val="00231A1B"/>
    <w:rsid w:val="0028526E"/>
    <w:rsid w:val="002879A5"/>
    <w:rsid w:val="002A5CE2"/>
    <w:rsid w:val="002D03BC"/>
    <w:rsid w:val="002D71C3"/>
    <w:rsid w:val="002E1507"/>
    <w:rsid w:val="002E2810"/>
    <w:rsid w:val="002E75D2"/>
    <w:rsid w:val="002F6C63"/>
    <w:rsid w:val="00301519"/>
    <w:rsid w:val="00305DAB"/>
    <w:rsid w:val="00312BD4"/>
    <w:rsid w:val="00363343"/>
    <w:rsid w:val="00376E15"/>
    <w:rsid w:val="003777DA"/>
    <w:rsid w:val="0039393A"/>
    <w:rsid w:val="003A1264"/>
    <w:rsid w:val="003E462A"/>
    <w:rsid w:val="00403FFE"/>
    <w:rsid w:val="0042600E"/>
    <w:rsid w:val="00445FA1"/>
    <w:rsid w:val="00461124"/>
    <w:rsid w:val="00461C8E"/>
    <w:rsid w:val="004B73C5"/>
    <w:rsid w:val="004C2754"/>
    <w:rsid w:val="004D2B0E"/>
    <w:rsid w:val="004E4F48"/>
    <w:rsid w:val="00502ED1"/>
    <w:rsid w:val="00514BA7"/>
    <w:rsid w:val="005202DD"/>
    <w:rsid w:val="00520ECC"/>
    <w:rsid w:val="00526DD2"/>
    <w:rsid w:val="00530A5D"/>
    <w:rsid w:val="00581103"/>
    <w:rsid w:val="00587B55"/>
    <w:rsid w:val="00594364"/>
    <w:rsid w:val="005A3EE6"/>
    <w:rsid w:val="005C11A6"/>
    <w:rsid w:val="005D3398"/>
    <w:rsid w:val="005D6396"/>
    <w:rsid w:val="005F5D6D"/>
    <w:rsid w:val="0060685C"/>
    <w:rsid w:val="0062240E"/>
    <w:rsid w:val="006358FB"/>
    <w:rsid w:val="00636897"/>
    <w:rsid w:val="00636C67"/>
    <w:rsid w:val="00642A10"/>
    <w:rsid w:val="00651FD0"/>
    <w:rsid w:val="00664B0A"/>
    <w:rsid w:val="00672C77"/>
    <w:rsid w:val="00673436"/>
    <w:rsid w:val="0067652B"/>
    <w:rsid w:val="006B7C4A"/>
    <w:rsid w:val="006C387E"/>
    <w:rsid w:val="006C6966"/>
    <w:rsid w:val="006C7916"/>
    <w:rsid w:val="006D1B79"/>
    <w:rsid w:val="006E57E2"/>
    <w:rsid w:val="00705953"/>
    <w:rsid w:val="00734892"/>
    <w:rsid w:val="00735B58"/>
    <w:rsid w:val="00736F5C"/>
    <w:rsid w:val="007474E2"/>
    <w:rsid w:val="0078607D"/>
    <w:rsid w:val="007A32F8"/>
    <w:rsid w:val="007A7A47"/>
    <w:rsid w:val="007C1B52"/>
    <w:rsid w:val="007C73B8"/>
    <w:rsid w:val="007D45F1"/>
    <w:rsid w:val="007E5A51"/>
    <w:rsid w:val="00804966"/>
    <w:rsid w:val="00810B05"/>
    <w:rsid w:val="008114EB"/>
    <w:rsid w:val="00826214"/>
    <w:rsid w:val="008436E6"/>
    <w:rsid w:val="00850DFC"/>
    <w:rsid w:val="00855F7A"/>
    <w:rsid w:val="008570B8"/>
    <w:rsid w:val="00870B71"/>
    <w:rsid w:val="00891E31"/>
    <w:rsid w:val="00893346"/>
    <w:rsid w:val="008A445B"/>
    <w:rsid w:val="008A6A6E"/>
    <w:rsid w:val="008B77B2"/>
    <w:rsid w:val="008C5191"/>
    <w:rsid w:val="008D2463"/>
    <w:rsid w:val="0091708F"/>
    <w:rsid w:val="009223C2"/>
    <w:rsid w:val="00925698"/>
    <w:rsid w:val="00931FD1"/>
    <w:rsid w:val="009352E2"/>
    <w:rsid w:val="00936FA8"/>
    <w:rsid w:val="009416B4"/>
    <w:rsid w:val="00952A84"/>
    <w:rsid w:val="009756D0"/>
    <w:rsid w:val="00976035"/>
    <w:rsid w:val="00984007"/>
    <w:rsid w:val="009858A2"/>
    <w:rsid w:val="0098769F"/>
    <w:rsid w:val="009959EB"/>
    <w:rsid w:val="009A1380"/>
    <w:rsid w:val="009A5F7F"/>
    <w:rsid w:val="009B1E67"/>
    <w:rsid w:val="009B4028"/>
    <w:rsid w:val="009C437B"/>
    <w:rsid w:val="009F729C"/>
    <w:rsid w:val="00A05FE3"/>
    <w:rsid w:val="00A16278"/>
    <w:rsid w:val="00A34EE9"/>
    <w:rsid w:val="00A36E8D"/>
    <w:rsid w:val="00A57248"/>
    <w:rsid w:val="00A57485"/>
    <w:rsid w:val="00A57649"/>
    <w:rsid w:val="00A63F92"/>
    <w:rsid w:val="00A67BCB"/>
    <w:rsid w:val="00AA68DC"/>
    <w:rsid w:val="00AF38CA"/>
    <w:rsid w:val="00B107CB"/>
    <w:rsid w:val="00B12C2E"/>
    <w:rsid w:val="00B25D5B"/>
    <w:rsid w:val="00B6491C"/>
    <w:rsid w:val="00B73410"/>
    <w:rsid w:val="00B81B4D"/>
    <w:rsid w:val="00B85B28"/>
    <w:rsid w:val="00B9607F"/>
    <w:rsid w:val="00B970F4"/>
    <w:rsid w:val="00BB2513"/>
    <w:rsid w:val="00BC0250"/>
    <w:rsid w:val="00BC0716"/>
    <w:rsid w:val="00BC2F61"/>
    <w:rsid w:val="00BC6C6F"/>
    <w:rsid w:val="00BD5166"/>
    <w:rsid w:val="00BD575E"/>
    <w:rsid w:val="00BF6909"/>
    <w:rsid w:val="00C17D52"/>
    <w:rsid w:val="00C204E0"/>
    <w:rsid w:val="00C24B68"/>
    <w:rsid w:val="00C30F1F"/>
    <w:rsid w:val="00C33403"/>
    <w:rsid w:val="00C34DAC"/>
    <w:rsid w:val="00C43538"/>
    <w:rsid w:val="00C44A71"/>
    <w:rsid w:val="00C567D5"/>
    <w:rsid w:val="00C64DE3"/>
    <w:rsid w:val="00C70B56"/>
    <w:rsid w:val="00C85854"/>
    <w:rsid w:val="00C87E41"/>
    <w:rsid w:val="00CC0C71"/>
    <w:rsid w:val="00CC50CD"/>
    <w:rsid w:val="00CC6122"/>
    <w:rsid w:val="00CC7019"/>
    <w:rsid w:val="00CE5FA5"/>
    <w:rsid w:val="00D01D89"/>
    <w:rsid w:val="00D15057"/>
    <w:rsid w:val="00D225F2"/>
    <w:rsid w:val="00D33921"/>
    <w:rsid w:val="00D34483"/>
    <w:rsid w:val="00D44BE3"/>
    <w:rsid w:val="00D62269"/>
    <w:rsid w:val="00D704F0"/>
    <w:rsid w:val="00D72AE7"/>
    <w:rsid w:val="00D85ECE"/>
    <w:rsid w:val="00D862BE"/>
    <w:rsid w:val="00DA52BE"/>
    <w:rsid w:val="00DA7110"/>
    <w:rsid w:val="00DB1904"/>
    <w:rsid w:val="00DC53F6"/>
    <w:rsid w:val="00DC6E8D"/>
    <w:rsid w:val="00DD5BC2"/>
    <w:rsid w:val="00DE75A6"/>
    <w:rsid w:val="00E059A9"/>
    <w:rsid w:val="00E205EB"/>
    <w:rsid w:val="00E23E8E"/>
    <w:rsid w:val="00E27159"/>
    <w:rsid w:val="00E43FDB"/>
    <w:rsid w:val="00E47118"/>
    <w:rsid w:val="00E727F7"/>
    <w:rsid w:val="00E84EBA"/>
    <w:rsid w:val="00E91A8F"/>
    <w:rsid w:val="00E91D3F"/>
    <w:rsid w:val="00EB1411"/>
    <w:rsid w:val="00EC54F5"/>
    <w:rsid w:val="00F1704D"/>
    <w:rsid w:val="00F237FF"/>
    <w:rsid w:val="00F23B88"/>
    <w:rsid w:val="00F27319"/>
    <w:rsid w:val="00F32228"/>
    <w:rsid w:val="00F460D8"/>
    <w:rsid w:val="00F6348C"/>
    <w:rsid w:val="00F71152"/>
    <w:rsid w:val="00F855C6"/>
    <w:rsid w:val="00F86164"/>
    <w:rsid w:val="00FB485D"/>
    <w:rsid w:val="00FC746C"/>
    <w:rsid w:val="00FE4DD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7572A1"/>
  <w15:docId w15:val="{4236109B-90A1-4E1F-9A14-712E5F21F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31FD1"/>
    <w:pPr>
      <w:widowControl w:val="0"/>
      <w:autoSpaceDE w:val="0"/>
      <w:autoSpaceDN w:val="0"/>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1FD1"/>
    <w:pPr>
      <w:tabs>
        <w:tab w:val="center" w:pos="4513"/>
        <w:tab w:val="right" w:pos="9026"/>
      </w:tabs>
    </w:pPr>
  </w:style>
  <w:style w:type="character" w:customStyle="1" w:styleId="HeaderChar">
    <w:name w:val="Header Char"/>
    <w:basedOn w:val="DefaultParagraphFont"/>
    <w:link w:val="Header"/>
    <w:uiPriority w:val="99"/>
    <w:rsid w:val="00931FD1"/>
  </w:style>
  <w:style w:type="paragraph" w:styleId="Footer">
    <w:name w:val="footer"/>
    <w:basedOn w:val="Normal"/>
    <w:link w:val="FooterChar"/>
    <w:uiPriority w:val="99"/>
    <w:unhideWhenUsed/>
    <w:rsid w:val="00931FD1"/>
    <w:pPr>
      <w:tabs>
        <w:tab w:val="center" w:pos="4513"/>
        <w:tab w:val="right" w:pos="9026"/>
      </w:tabs>
    </w:pPr>
  </w:style>
  <w:style w:type="character" w:customStyle="1" w:styleId="FooterChar">
    <w:name w:val="Footer Char"/>
    <w:basedOn w:val="DefaultParagraphFont"/>
    <w:link w:val="Footer"/>
    <w:uiPriority w:val="99"/>
    <w:rsid w:val="00931FD1"/>
  </w:style>
  <w:style w:type="character" w:customStyle="1" w:styleId="hps">
    <w:name w:val="hps"/>
    <w:basedOn w:val="DefaultParagraphFont"/>
    <w:rsid w:val="00931FD1"/>
  </w:style>
  <w:style w:type="character" w:customStyle="1" w:styleId="shorttext">
    <w:name w:val="short_text"/>
    <w:basedOn w:val="DefaultParagraphFont"/>
    <w:rsid w:val="00931FD1"/>
  </w:style>
  <w:style w:type="table" w:styleId="TableGrid">
    <w:name w:val="Table Grid"/>
    <w:basedOn w:val="TableNormal"/>
    <w:uiPriority w:val="39"/>
    <w:rsid w:val="00936F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Text Char1,Char Char2,List Paragraph1,List Paragraph2,UGEX'Z,YEAH!,list paragraph,skirpsi,skripsi,spasi 2 taiiii"/>
    <w:basedOn w:val="Normal"/>
    <w:link w:val="ListParagraphChar"/>
    <w:qFormat/>
    <w:rsid w:val="002D03BC"/>
    <w:pPr>
      <w:widowControl/>
      <w:autoSpaceDE/>
      <w:autoSpaceDN/>
      <w:spacing w:after="160" w:line="259" w:lineRule="auto"/>
      <w:ind w:left="720"/>
      <w:contextualSpacing/>
    </w:pPr>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EB1411"/>
    <w:rPr>
      <w:vertAlign w:val="superscript"/>
    </w:rPr>
  </w:style>
  <w:style w:type="character" w:customStyle="1" w:styleId="lrzxr">
    <w:name w:val="lrzxr"/>
    <w:basedOn w:val="DefaultParagraphFont"/>
    <w:rsid w:val="00DA52BE"/>
  </w:style>
  <w:style w:type="paragraph" w:styleId="FootnoteText">
    <w:name w:val="footnote text"/>
    <w:basedOn w:val="Normal"/>
    <w:link w:val="FootnoteTextChar"/>
    <w:uiPriority w:val="99"/>
    <w:unhideWhenUsed/>
    <w:rsid w:val="002D71C3"/>
    <w:pPr>
      <w:widowControl/>
      <w:autoSpaceDE/>
      <w:autoSpaceDN/>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2D71C3"/>
    <w:rPr>
      <w:sz w:val="20"/>
      <w:szCs w:val="20"/>
    </w:rPr>
  </w:style>
  <w:style w:type="character" w:styleId="Hyperlink">
    <w:name w:val="Hyperlink"/>
    <w:basedOn w:val="DefaultParagraphFont"/>
    <w:uiPriority w:val="99"/>
    <w:unhideWhenUsed/>
    <w:rsid w:val="000F6E02"/>
    <w:rPr>
      <w:color w:val="0000FF" w:themeColor="hyperlink"/>
      <w:u w:val="single"/>
    </w:rPr>
  </w:style>
  <w:style w:type="paragraph" w:styleId="Bibliography">
    <w:name w:val="Bibliography"/>
    <w:basedOn w:val="Normal"/>
    <w:next w:val="Normal"/>
    <w:uiPriority w:val="37"/>
    <w:unhideWhenUsed/>
    <w:rsid w:val="000F6E02"/>
    <w:pPr>
      <w:widowControl/>
      <w:autoSpaceDE/>
      <w:autoSpaceDN/>
      <w:spacing w:after="160" w:line="259" w:lineRule="auto"/>
    </w:pPr>
    <w:rPr>
      <w:rFonts w:asciiTheme="minorHAnsi" w:eastAsiaTheme="minorHAnsi" w:hAnsiTheme="minorHAnsi" w:cstheme="minorBidi"/>
      <w:lang w:val="en-US"/>
    </w:rPr>
  </w:style>
  <w:style w:type="paragraph" w:styleId="BalloonText">
    <w:name w:val="Balloon Text"/>
    <w:basedOn w:val="Normal"/>
    <w:link w:val="BalloonTextChar"/>
    <w:uiPriority w:val="99"/>
    <w:semiHidden/>
    <w:unhideWhenUsed/>
    <w:rsid w:val="008B77B2"/>
    <w:rPr>
      <w:rFonts w:ascii="Tahoma" w:hAnsi="Tahoma" w:cs="Tahoma"/>
      <w:sz w:val="16"/>
      <w:szCs w:val="16"/>
    </w:rPr>
  </w:style>
  <w:style w:type="character" w:customStyle="1" w:styleId="BalloonTextChar">
    <w:name w:val="Balloon Text Char"/>
    <w:basedOn w:val="DefaultParagraphFont"/>
    <w:link w:val="BalloonText"/>
    <w:uiPriority w:val="99"/>
    <w:semiHidden/>
    <w:rsid w:val="008B77B2"/>
    <w:rPr>
      <w:rFonts w:ascii="Tahoma" w:eastAsia="Times New Roman" w:hAnsi="Tahoma" w:cs="Tahoma"/>
      <w:sz w:val="16"/>
      <w:szCs w:val="16"/>
    </w:rPr>
  </w:style>
  <w:style w:type="character" w:customStyle="1" w:styleId="ListParagraphChar">
    <w:name w:val="List Paragraph Char"/>
    <w:aliases w:val="Body Text Char1 Char,Char Char2 Char,List Paragraph1 Char,List Paragraph2 Char,UGEX'Z Char,YEAH! Char,list paragraph Char,skirpsi Char,skripsi Char,spasi 2 taiiii Char"/>
    <w:basedOn w:val="DefaultParagraphFont"/>
    <w:link w:val="ListParagraph"/>
    <w:locked/>
    <w:rsid w:val="00C64DE3"/>
  </w:style>
  <w:style w:type="character" w:styleId="Emphasis">
    <w:name w:val="Emphasis"/>
    <w:basedOn w:val="DefaultParagraphFont"/>
    <w:uiPriority w:val="20"/>
    <w:qFormat/>
    <w:rsid w:val="00DB1904"/>
    <w:rPr>
      <w:i/>
      <w:iCs/>
    </w:rPr>
  </w:style>
  <w:style w:type="paragraph" w:customStyle="1" w:styleId="E-JOURNALTitle">
    <w:name w:val="E-JOURNAL_Title"/>
    <w:basedOn w:val="Normal"/>
    <w:qFormat/>
    <w:rsid w:val="00BC0250"/>
    <w:pPr>
      <w:widowControl/>
      <w:autoSpaceDE/>
      <w:autoSpaceDN/>
      <w:ind w:firstLine="567"/>
      <w:jc w:val="center"/>
    </w:pPr>
    <w:rPr>
      <w:b/>
    </w:rPr>
  </w:style>
  <w:style w:type="paragraph" w:customStyle="1" w:styleId="IdentitasInstitusiPenulis">
    <w:name w:val="Identitas Institusi Penulis"/>
    <w:basedOn w:val="Normal"/>
    <w:qFormat/>
    <w:rsid w:val="00BC0250"/>
    <w:pPr>
      <w:widowControl/>
      <w:autoSpaceDE/>
      <w:autoSpaceDN/>
      <w:jc w:val="center"/>
    </w:pPr>
    <w:rPr>
      <w:rFonts w:eastAsia="Calibri"/>
      <w:sz w:val="20"/>
      <w:lang w:val="en-US"/>
    </w:rPr>
  </w:style>
  <w:style w:type="paragraph" w:customStyle="1" w:styleId="E-JOURNALBody">
    <w:name w:val="E-JOURNAL_Body"/>
    <w:basedOn w:val="Normal"/>
    <w:qFormat/>
    <w:rsid w:val="00E727F7"/>
    <w:pPr>
      <w:widowControl/>
      <w:autoSpaceDE/>
      <w:autoSpaceDN/>
      <w:ind w:firstLine="567"/>
      <w:jc w:val="both"/>
    </w:pPr>
    <w:rPr>
      <w:szCs w:val="24"/>
    </w:rPr>
  </w:style>
  <w:style w:type="character" w:customStyle="1" w:styleId="mord">
    <w:name w:val="mord"/>
    <w:basedOn w:val="DefaultParagraphFont"/>
    <w:rsid w:val="00166A88"/>
  </w:style>
  <w:style w:type="character" w:customStyle="1" w:styleId="mrel">
    <w:name w:val="mrel"/>
    <w:basedOn w:val="DefaultParagraphFont"/>
    <w:rsid w:val="00166A88"/>
  </w:style>
  <w:style w:type="character" w:customStyle="1" w:styleId="vlist-s">
    <w:name w:val="vlist-s"/>
    <w:basedOn w:val="DefaultParagraphFont"/>
    <w:rsid w:val="00166A88"/>
  </w:style>
  <w:style w:type="character" w:customStyle="1" w:styleId="mbin">
    <w:name w:val="mbin"/>
    <w:basedOn w:val="DefaultParagraphFont"/>
    <w:rsid w:val="00166A88"/>
  </w:style>
  <w:style w:type="paragraph" w:styleId="NormalWeb">
    <w:name w:val="Normal (Web)"/>
    <w:basedOn w:val="Normal"/>
    <w:uiPriority w:val="99"/>
    <w:semiHidden/>
    <w:unhideWhenUsed/>
    <w:rsid w:val="00166A88"/>
    <w:pPr>
      <w:widowControl/>
      <w:autoSpaceDE/>
      <w:autoSpaceDN/>
      <w:spacing w:before="100" w:beforeAutospacing="1" w:after="100" w:afterAutospacing="1"/>
    </w:pPr>
    <w:rPr>
      <w:sz w:val="24"/>
      <w:szCs w:val="24"/>
      <w:lang w:val="en-ID" w:eastAsia="en-ID"/>
    </w:rPr>
  </w:style>
  <w:style w:type="character" w:customStyle="1" w:styleId="mop">
    <w:name w:val="mop"/>
    <w:basedOn w:val="DefaultParagraphFont"/>
    <w:rsid w:val="00166A88"/>
  </w:style>
  <w:style w:type="character" w:customStyle="1" w:styleId="mopen">
    <w:name w:val="mopen"/>
    <w:basedOn w:val="DefaultParagraphFont"/>
    <w:rsid w:val="00166A88"/>
  </w:style>
  <w:style w:type="character" w:customStyle="1" w:styleId="mclose">
    <w:name w:val="mclose"/>
    <w:basedOn w:val="DefaultParagraphFont"/>
    <w:rsid w:val="00166A88"/>
  </w:style>
  <w:style w:type="paragraph" w:styleId="HTMLPreformatted">
    <w:name w:val="HTML Preformatted"/>
    <w:basedOn w:val="Normal"/>
    <w:link w:val="HTMLPreformattedChar"/>
    <w:uiPriority w:val="99"/>
    <w:semiHidden/>
    <w:unhideWhenUsed/>
    <w:rsid w:val="006C387E"/>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C387E"/>
    <w:rPr>
      <w:rFonts w:ascii="Consolas" w:eastAsia="Times New Roman" w:hAnsi="Consolas" w:cs="Times New Roman"/>
      <w:sz w:val="20"/>
      <w:szCs w:val="20"/>
    </w:rPr>
  </w:style>
  <w:style w:type="character" w:styleId="CommentReference">
    <w:name w:val="annotation reference"/>
    <w:basedOn w:val="DefaultParagraphFont"/>
    <w:uiPriority w:val="99"/>
    <w:semiHidden/>
    <w:unhideWhenUsed/>
    <w:rsid w:val="00FC746C"/>
    <w:rPr>
      <w:sz w:val="16"/>
      <w:szCs w:val="16"/>
    </w:rPr>
  </w:style>
  <w:style w:type="paragraph" w:styleId="CommentText">
    <w:name w:val="annotation text"/>
    <w:basedOn w:val="Normal"/>
    <w:link w:val="CommentTextChar"/>
    <w:uiPriority w:val="99"/>
    <w:semiHidden/>
    <w:unhideWhenUsed/>
    <w:rsid w:val="00FC746C"/>
    <w:rPr>
      <w:sz w:val="20"/>
      <w:szCs w:val="20"/>
    </w:rPr>
  </w:style>
  <w:style w:type="character" w:customStyle="1" w:styleId="CommentTextChar">
    <w:name w:val="Comment Text Char"/>
    <w:basedOn w:val="DefaultParagraphFont"/>
    <w:link w:val="CommentText"/>
    <w:uiPriority w:val="99"/>
    <w:semiHidden/>
    <w:rsid w:val="00FC746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C746C"/>
    <w:rPr>
      <w:b/>
      <w:bCs/>
    </w:rPr>
  </w:style>
  <w:style w:type="character" w:customStyle="1" w:styleId="CommentSubjectChar">
    <w:name w:val="Comment Subject Char"/>
    <w:basedOn w:val="CommentTextChar"/>
    <w:link w:val="CommentSubject"/>
    <w:uiPriority w:val="99"/>
    <w:semiHidden/>
    <w:rsid w:val="00FC746C"/>
    <w:rPr>
      <w:rFonts w:ascii="Times New Roman" w:eastAsia="Times New Roman" w:hAnsi="Times New Roman" w:cs="Times New Roman"/>
      <w:b/>
      <w:bCs/>
      <w:sz w:val="20"/>
      <w:szCs w:val="20"/>
    </w:rPr>
  </w:style>
  <w:style w:type="character" w:styleId="UnresolvedMention">
    <w:name w:val="Unresolved Mention"/>
    <w:basedOn w:val="DefaultParagraphFont"/>
    <w:uiPriority w:val="99"/>
    <w:semiHidden/>
    <w:unhideWhenUsed/>
    <w:rsid w:val="009858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3763730">
      <w:bodyDiv w:val="1"/>
      <w:marLeft w:val="0"/>
      <w:marRight w:val="0"/>
      <w:marTop w:val="0"/>
      <w:marBottom w:val="0"/>
      <w:divBdr>
        <w:top w:val="none" w:sz="0" w:space="0" w:color="auto"/>
        <w:left w:val="none" w:sz="0" w:space="0" w:color="auto"/>
        <w:bottom w:val="none" w:sz="0" w:space="0" w:color="auto"/>
        <w:right w:val="none" w:sz="0" w:space="0" w:color="auto"/>
      </w:divBdr>
    </w:div>
    <w:div w:id="1679233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arajulianajaya@uin-malang.ac.i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AB1F63-1391-4274-9CCE-807710C18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12</Pages>
  <Words>12620</Words>
  <Characters>73830</Characters>
  <Application>Microsoft Office Word</Application>
  <DocSecurity>0</DocSecurity>
  <Lines>2171</Lines>
  <Paragraphs>1108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 7</dc:creator>
  <cp:lastModifiedBy>Suseno Hendratmoko</cp:lastModifiedBy>
  <cp:revision>11</cp:revision>
  <dcterms:created xsi:type="dcterms:W3CDTF">2025-01-23T05:40:00Z</dcterms:created>
  <dcterms:modified xsi:type="dcterms:W3CDTF">2025-04-24T03:00:00Z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128d88711dbb783e89c575510c65e87e252dabda4532bb3995145b0c61261d8c</vt:lpwstr>
  </property>
  <property fmtid="{D5CDD505-2E9C-101B-9397-08002B2CF9AE}" pid="3" name="Mendeley Citation Style_1">
    <vt:lpwstr>http://csl.mendeley.com/styles/687069811/apa-3</vt:lpwstr>
  </property>
  <property fmtid="{D5CDD505-2E9C-101B-9397-08002B2CF9AE}" pid="4" name="Mendeley Document_1">
    <vt:lpwstr>True</vt:lpwstr>
  </property>
  <property fmtid="{D5CDD505-2E9C-101B-9397-08002B2CF9AE}" pid="5" name="Mendeley Recent Style Id 0_1">
    <vt:lpwstr>http://www.zotero.org/styles/apa</vt:lpwstr>
  </property>
  <property fmtid="{D5CDD505-2E9C-101B-9397-08002B2CF9AE}" pid="6" name="Mendeley Recent Style Id 1_1">
    <vt:lpwstr>http://csl.mendeley.com/styles/687069811/apa-3</vt:lpwstr>
  </property>
  <property fmtid="{D5CDD505-2E9C-101B-9397-08002B2CF9AE}" pid="7" name="Mendeley Recent Style Id 2_1">
    <vt:lpwstr>http://www.zotero.org/styles/american-sociological-association</vt:lpwstr>
  </property>
  <property fmtid="{D5CDD505-2E9C-101B-9397-08002B2CF9AE}" pid="8" name="Mendeley Recent Style Id 3_1">
    <vt:lpwstr>http://www.zotero.org/styles/chicago-author-date</vt:lpwstr>
  </property>
  <property fmtid="{D5CDD505-2E9C-101B-9397-08002B2CF9AE}" pid="9" name="Mendeley Recent Style Id 4_1">
    <vt:lpwstr>http://www.zotero.org/styles/chicago-fullnote-bibliography</vt:lpwstr>
  </property>
  <property fmtid="{D5CDD505-2E9C-101B-9397-08002B2CF9AE}" pid="10" name="Mendeley Recent Style Id 5_1">
    <vt:lpwstr>http://www.zotero.org/styles/chicago-note-bibliography</vt:lpwstr>
  </property>
  <property fmtid="{D5CDD505-2E9C-101B-9397-08002B2CF9AE}" pid="11" name="Mendeley Recent Style Id 6_1">
    <vt:lpwstr>http://www.zotero.org/styles/harvard-cite-them-right</vt:lpwstr>
  </property>
  <property fmtid="{D5CDD505-2E9C-101B-9397-08002B2CF9AE}" pid="12" name="Mendeley Recent Style Id 7_1">
    <vt:lpwstr>http://www.zotero.org/styles/ieee</vt:lpwstr>
  </property>
  <property fmtid="{D5CDD505-2E9C-101B-9397-08002B2CF9AE}" pid="13" name="Mendeley Recent Style Id 8_1">
    <vt:lpwstr>http://www.zotero.org/styles/nature</vt:lpwstr>
  </property>
  <property fmtid="{D5CDD505-2E9C-101B-9397-08002B2CF9AE}" pid="14" name="Mendeley Recent Style Id 9_1">
    <vt:lpwstr>http://www.zotero.org/styles/turabian-fullnote-bibliography-8th-edition</vt:lpwstr>
  </property>
  <property fmtid="{D5CDD505-2E9C-101B-9397-08002B2CF9AE}" pid="15" name="Mendeley Recent Style Name 0_1">
    <vt:lpwstr>American Psychological Association 7th edition</vt:lpwstr>
  </property>
  <property fmtid="{D5CDD505-2E9C-101B-9397-08002B2CF9AE}" pid="16" name="Mendeley Recent Style Name 1_1">
    <vt:lpwstr>American Psychological Association 7th edition - pranata</vt:lpwstr>
  </property>
  <property fmtid="{D5CDD505-2E9C-101B-9397-08002B2CF9AE}" pid="17" name="Mendeley Recent Style Name 2_1">
    <vt:lpwstr>American Sociological Association 6th edition</vt:lpwstr>
  </property>
  <property fmtid="{D5CDD505-2E9C-101B-9397-08002B2CF9AE}" pid="18" name="Mendeley Recent Style Name 3_1">
    <vt:lpwstr>Chicago Manual of Style 17th edition (author-date)</vt:lpwstr>
  </property>
  <property fmtid="{D5CDD505-2E9C-101B-9397-08002B2CF9AE}" pid="19" name="Mendeley Recent Style Name 4_1">
    <vt:lpwstr>Chicago Manual of Style 17th edition (full note)</vt:lpwstr>
  </property>
  <property fmtid="{D5CDD505-2E9C-101B-9397-08002B2CF9AE}" pid="20" name="Mendeley Recent Style Name 5_1">
    <vt:lpwstr>Chicago Manual of Style 17th edition (note)</vt:lpwstr>
  </property>
  <property fmtid="{D5CDD505-2E9C-101B-9397-08002B2CF9AE}" pid="21" name="Mendeley Recent Style Name 6_1">
    <vt:lpwstr>Cite Them Right 12th edition - Harvard</vt:lpwstr>
  </property>
  <property fmtid="{D5CDD505-2E9C-101B-9397-08002B2CF9AE}" pid="22" name="Mendeley Recent Style Name 7_1">
    <vt:lpwstr>IEEE</vt:lpwstr>
  </property>
  <property fmtid="{D5CDD505-2E9C-101B-9397-08002B2CF9AE}" pid="23" name="Mendeley Recent Style Name 8_1">
    <vt:lpwstr>Nature</vt:lpwstr>
  </property>
  <property fmtid="{D5CDD505-2E9C-101B-9397-08002B2CF9AE}" pid="24" name="Mendeley Recent Style Name 9_1">
    <vt:lpwstr>Turabian 8th edition (full note)</vt:lpwstr>
  </property>
  <property fmtid="{D5CDD505-2E9C-101B-9397-08002B2CF9AE}" pid="25" name="Mendeley Unique User Id_1">
    <vt:lpwstr>3bfd65e8-d3c2-3797-801e-21fa78ba090b</vt:lpwstr>
  </property>
</Properties>
</file>