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90EF" w14:textId="77777777" w:rsidR="00931FD1" w:rsidRDefault="00BC2F61" w:rsidP="00931FD1">
      <w:pPr>
        <w:spacing w:line="276" w:lineRule="auto"/>
        <w:jc w:val="center"/>
        <w:rPr>
          <w:b/>
          <w:sz w:val="32"/>
          <w:szCs w:val="32"/>
        </w:rPr>
      </w:pPr>
      <w:r>
        <w:rPr>
          <w:b/>
          <w:noProof/>
          <w:sz w:val="32"/>
          <w:szCs w:val="32"/>
          <w:lang w:val="en-US"/>
        </w:rPr>
        <mc:AlternateContent>
          <mc:Choice Requires="wps">
            <w:drawing>
              <wp:anchor distT="0" distB="0" distL="114300" distR="114300" simplePos="0" relativeHeight="251658240" behindDoc="0" locked="0" layoutInCell="1" allowOverlap="1" wp14:anchorId="789E8C0C" wp14:editId="756FA377">
                <wp:simplePos x="0" y="0"/>
                <wp:positionH relativeFrom="column">
                  <wp:posOffset>7458</wp:posOffset>
                </wp:positionH>
                <wp:positionV relativeFrom="paragraph">
                  <wp:posOffset>67310</wp:posOffset>
                </wp:positionV>
                <wp:extent cx="5018567"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50185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id="Straight Connector 2" o:spid="_x0000_s1025" style="mso-wrap-distance-bottom:0;mso-wrap-distance-left:9pt;mso-wrap-distance-right:9pt;mso-wrap-distance-top:0;mso-wrap-style:square;position:absolute;visibility:visible;z-index:251659264" from="0.6pt,5.3pt" to="395.75pt,5.3pt" strokecolor="black" strokeweight="1.5pt"/>
            </w:pict>
          </mc:Fallback>
        </mc:AlternateContent>
      </w:r>
    </w:p>
    <w:p w14:paraId="4E0CEEF9" w14:textId="77777777" w:rsidR="00CC50CD" w:rsidRPr="00F23B88" w:rsidRDefault="00BC2F61" w:rsidP="00CC50CD">
      <w:pPr>
        <w:jc w:val="center"/>
        <w:rPr>
          <w:b/>
          <w:sz w:val="32"/>
          <w:szCs w:val="32"/>
        </w:rPr>
      </w:pPr>
      <w:r w:rsidRPr="00B970F4">
        <w:rPr>
          <w:b/>
          <w:sz w:val="32"/>
          <w:szCs w:val="32"/>
        </w:rPr>
        <w:t>The Influence of Size, Third-Party Funds, and Dividend Policy on the Profitability of Islamic Banks in Asia</w:t>
      </w:r>
      <w:r w:rsidRPr="00F23B88">
        <w:rPr>
          <w:b/>
          <w:sz w:val="32"/>
          <w:szCs w:val="32"/>
        </w:rPr>
        <w:t xml:space="preserve"> </w:t>
      </w:r>
    </w:p>
    <w:p w14:paraId="6138B19A" w14:textId="77777777" w:rsidR="00DB1904" w:rsidRDefault="00DB1904" w:rsidP="00DB1904">
      <w:pPr>
        <w:spacing w:line="276" w:lineRule="auto"/>
        <w:jc w:val="center"/>
        <w:rPr>
          <w:b/>
          <w:bCs/>
          <w:sz w:val="32"/>
          <w:szCs w:val="24"/>
        </w:rPr>
      </w:pPr>
    </w:p>
    <w:p w14:paraId="2985B737" w14:textId="77777777" w:rsidR="00B107CB" w:rsidRDefault="00B107CB" w:rsidP="00B107CB">
      <w:pPr>
        <w:jc w:val="center"/>
        <w:rPr>
          <w:b/>
          <w:sz w:val="26"/>
          <w:szCs w:val="26"/>
        </w:rPr>
      </w:pPr>
      <w:r>
        <w:rPr>
          <w:b/>
          <w:sz w:val="26"/>
          <w:szCs w:val="26"/>
        </w:rPr>
        <w:t>Bagus Hermawan</w:t>
      </w:r>
    </w:p>
    <w:p w14:paraId="09D272D4" w14:textId="77777777" w:rsidR="00B107CB" w:rsidRDefault="00B107CB" w:rsidP="00B107CB">
      <w:pPr>
        <w:jc w:val="center"/>
        <w:rPr>
          <w:bCs/>
          <w:sz w:val="24"/>
          <w:szCs w:val="24"/>
        </w:rPr>
      </w:pPr>
      <w:bookmarkStart w:id="0" w:name="_Hlk184189801"/>
      <w:r>
        <w:rPr>
          <w:bCs/>
          <w:sz w:val="24"/>
          <w:szCs w:val="24"/>
        </w:rPr>
        <w:t>Universitas Islam Negeri Maulana Malik Ibrahim</w:t>
      </w:r>
    </w:p>
    <w:bookmarkEnd w:id="0"/>
    <w:p w14:paraId="698BEB2E" w14:textId="44F44C1D" w:rsidR="00B107CB" w:rsidRDefault="00301519" w:rsidP="00B107CB">
      <w:pPr>
        <w:jc w:val="center"/>
        <w:rPr>
          <w:bCs/>
          <w:i/>
          <w:iCs/>
          <w:sz w:val="24"/>
          <w:szCs w:val="24"/>
        </w:rPr>
      </w:pPr>
      <w:r>
        <w:rPr>
          <w:bCs/>
          <w:i/>
          <w:iCs/>
          <w:sz w:val="24"/>
          <w:szCs w:val="24"/>
        </w:rPr>
        <w:fldChar w:fldCharType="begin"/>
      </w:r>
      <w:r>
        <w:rPr>
          <w:bCs/>
          <w:i/>
          <w:iCs/>
          <w:sz w:val="24"/>
          <w:szCs w:val="24"/>
        </w:rPr>
        <w:instrText xml:space="preserve"> HYPERLINK "mailto:200503110033@student.uin-malang.ac.id" </w:instrText>
      </w:r>
      <w:r>
        <w:rPr>
          <w:bCs/>
          <w:i/>
          <w:iCs/>
          <w:sz w:val="24"/>
          <w:szCs w:val="24"/>
        </w:rPr>
        <w:fldChar w:fldCharType="separate"/>
      </w:r>
      <w:r w:rsidRPr="00650B16">
        <w:rPr>
          <w:rStyle w:val="Hyperlink"/>
          <w:bCs/>
          <w:i/>
          <w:iCs/>
          <w:sz w:val="24"/>
          <w:szCs w:val="24"/>
        </w:rPr>
        <w:t>200503110033@student.uin-malang.ac.id</w:t>
      </w:r>
      <w:r>
        <w:rPr>
          <w:bCs/>
          <w:i/>
          <w:iCs/>
          <w:sz w:val="24"/>
          <w:szCs w:val="24"/>
        </w:rPr>
        <w:fldChar w:fldCharType="end"/>
      </w:r>
    </w:p>
    <w:p w14:paraId="57025768" w14:textId="43496F95" w:rsidR="00E727F7" w:rsidRDefault="00E727F7" w:rsidP="00BC0250">
      <w:pPr>
        <w:jc w:val="center"/>
        <w:rPr>
          <w:b/>
          <w:sz w:val="26"/>
          <w:szCs w:val="26"/>
        </w:rPr>
      </w:pPr>
    </w:p>
    <w:p w14:paraId="6B73210E" w14:textId="77777777" w:rsidR="00B107CB" w:rsidRDefault="00B107CB" w:rsidP="00B107CB">
      <w:pPr>
        <w:jc w:val="center"/>
        <w:rPr>
          <w:b/>
          <w:sz w:val="26"/>
          <w:szCs w:val="26"/>
          <w:vertAlign w:val="superscript"/>
        </w:rPr>
      </w:pPr>
      <w:r>
        <w:rPr>
          <w:b/>
          <w:sz w:val="26"/>
          <w:szCs w:val="26"/>
        </w:rPr>
        <w:t>Tiara Juliana Jaya</w:t>
      </w:r>
    </w:p>
    <w:p w14:paraId="3AC809A0" w14:textId="11F27F80" w:rsidR="00B107CB" w:rsidRPr="00651FD0" w:rsidRDefault="00B107CB" w:rsidP="00B107CB">
      <w:pPr>
        <w:jc w:val="center"/>
        <w:rPr>
          <w:bCs/>
          <w:sz w:val="24"/>
          <w:szCs w:val="24"/>
          <w:lang w:val="en-US"/>
        </w:rPr>
      </w:pPr>
      <w:r>
        <w:rPr>
          <w:bCs/>
          <w:sz w:val="24"/>
          <w:szCs w:val="24"/>
        </w:rPr>
        <w:t>Universitas Islam Negeri Maulana Malik Ibrahim</w:t>
      </w:r>
      <w:r w:rsidR="00651FD0">
        <w:rPr>
          <w:bCs/>
          <w:sz w:val="24"/>
          <w:szCs w:val="24"/>
          <w:lang w:val="en-US"/>
        </w:rPr>
        <w:t>,</w:t>
      </w:r>
    </w:p>
    <w:p w14:paraId="27261C90" w14:textId="0819E647" w:rsidR="00B107CB" w:rsidRDefault="00301519" w:rsidP="00B107CB">
      <w:pPr>
        <w:jc w:val="center"/>
        <w:rPr>
          <w:bCs/>
          <w:i/>
          <w:iCs/>
          <w:sz w:val="24"/>
          <w:szCs w:val="24"/>
        </w:rPr>
      </w:pPr>
      <w:hyperlink r:id="rId8" w:history="1">
        <w:r w:rsidRPr="00650B16">
          <w:rPr>
            <w:rStyle w:val="Hyperlink"/>
            <w:bCs/>
            <w:i/>
            <w:iCs/>
            <w:sz w:val="24"/>
            <w:szCs w:val="24"/>
          </w:rPr>
          <w:t>tiarajulianajaya@uin-malang.ac.id</w:t>
        </w:r>
      </w:hyperlink>
    </w:p>
    <w:p w14:paraId="734A805E" w14:textId="77777777" w:rsidR="00B107CB" w:rsidRDefault="00B107CB" w:rsidP="00BC0250">
      <w:pPr>
        <w:jc w:val="center"/>
        <w:rPr>
          <w:b/>
          <w:sz w:val="26"/>
          <w:szCs w:val="26"/>
        </w:rPr>
      </w:pPr>
    </w:p>
    <w:p w14:paraId="5D7A7E6D" w14:textId="77777777" w:rsidR="00DB1904" w:rsidRDefault="00DB1904" w:rsidP="004D2B0E">
      <w:pPr>
        <w:spacing w:before="121"/>
        <w:contextualSpacing/>
        <w:jc w:val="center"/>
        <w:rPr>
          <w:b/>
          <w:i/>
        </w:rPr>
      </w:pPr>
    </w:p>
    <w:p w14:paraId="3F5102A0" w14:textId="77777777" w:rsidR="001C61F9" w:rsidRDefault="001C61F9" w:rsidP="004D2B0E">
      <w:pPr>
        <w:spacing w:before="121"/>
        <w:contextualSpacing/>
        <w:jc w:val="center"/>
        <w:rPr>
          <w:b/>
          <w:i/>
        </w:rPr>
      </w:pPr>
    </w:p>
    <w:p w14:paraId="21DE849A" w14:textId="77777777" w:rsidR="00DB1904" w:rsidRPr="00C70B56" w:rsidRDefault="00BC2F61" w:rsidP="00DB1904">
      <w:pPr>
        <w:spacing w:before="121" w:line="360" w:lineRule="auto"/>
        <w:jc w:val="center"/>
        <w:rPr>
          <w:b/>
          <w:iCs/>
        </w:rPr>
      </w:pPr>
      <w:r w:rsidRPr="00C70B56">
        <w:rPr>
          <w:b/>
          <w:iCs/>
        </w:rPr>
        <w:t>Abstract</w:t>
      </w:r>
    </w:p>
    <w:p w14:paraId="7091BE91" w14:textId="77777777" w:rsidR="009352E2" w:rsidRDefault="00BC2F61" w:rsidP="00DB1904">
      <w:pPr>
        <w:ind w:right="140"/>
        <w:jc w:val="both"/>
        <w:rPr>
          <w:bCs/>
          <w:iCs/>
          <w:lang w:val="en-ID"/>
        </w:rPr>
      </w:pPr>
      <w:r w:rsidRPr="00A36E8D">
        <w:rPr>
          <w:bCs/>
          <w:iCs/>
          <w:lang w:val="en-ID"/>
        </w:rPr>
        <w:t xml:space="preserve">This study aims to analyze the impact of bank size, third-party funds (TPF), and dividend policy on the profitability of Islamic banks in Asia. The study population consists of the 128 largest Islamic banks in the world that are listed and publish annual financial reports for 2019-2023. The sample includes 15 Islamic banks from 11 countries in Asia with the most significant assets. The sampling technique used is purposive sampling. The analysis method employed is panel regression, using EViews 10 software. The results indicate that bank size has a positive and significant impact on profitability, and TPF has a negative and significant impact. In contrast, dividend policy does not have a </w:t>
      </w:r>
      <w:r w:rsidR="00DD5BC2">
        <w:rPr>
          <w:bCs/>
          <w:iCs/>
          <w:lang w:val="en-ID"/>
        </w:rPr>
        <w:t>substantial</w:t>
      </w:r>
      <w:r w:rsidRPr="00A36E8D">
        <w:rPr>
          <w:bCs/>
          <w:iCs/>
          <w:lang w:val="en-ID"/>
        </w:rPr>
        <w:t xml:space="preserve"> effect on profitability. These findings provide important implications for fund management, increasing economies of scale, and resource allocation to support the sustainable growth of the Islamic banking industry in Asia.</w:t>
      </w:r>
    </w:p>
    <w:p w14:paraId="2248AA7A" w14:textId="77777777" w:rsidR="00A36E8D" w:rsidRPr="00A36E8D" w:rsidRDefault="00A36E8D" w:rsidP="00DB1904">
      <w:pPr>
        <w:ind w:right="140"/>
        <w:jc w:val="both"/>
        <w:rPr>
          <w:bCs/>
          <w:iCs/>
          <w:lang w:val="en-ID"/>
        </w:rPr>
      </w:pPr>
    </w:p>
    <w:p w14:paraId="58C0D014" w14:textId="77777777" w:rsidR="00DB1904" w:rsidRPr="00C70B56" w:rsidRDefault="00BC2F61" w:rsidP="00DB1904">
      <w:pPr>
        <w:ind w:right="140"/>
        <w:jc w:val="both"/>
        <w:rPr>
          <w:rStyle w:val="hps"/>
          <w:bCs/>
          <w:iCs/>
        </w:rPr>
      </w:pPr>
      <w:r w:rsidRPr="00C70B56">
        <w:rPr>
          <w:rStyle w:val="hps"/>
          <w:b/>
          <w:iCs/>
        </w:rPr>
        <w:t>Keywords</w:t>
      </w:r>
      <w:r w:rsidRPr="00C70B56">
        <w:rPr>
          <w:rStyle w:val="shorttext"/>
          <w:iCs/>
        </w:rPr>
        <w:t xml:space="preserve">: </w:t>
      </w:r>
      <w:r w:rsidR="00A36E8D" w:rsidRPr="00A36E8D">
        <w:rPr>
          <w:bCs/>
          <w:iCs/>
        </w:rPr>
        <w:t>bank size</w:t>
      </w:r>
      <w:r w:rsidR="00A36E8D">
        <w:rPr>
          <w:bCs/>
          <w:iCs/>
        </w:rPr>
        <w:t xml:space="preserve">; </w:t>
      </w:r>
      <w:r w:rsidR="00A36E8D" w:rsidRPr="00A36E8D">
        <w:rPr>
          <w:bCs/>
          <w:iCs/>
        </w:rPr>
        <w:t>third</w:t>
      </w:r>
      <w:r w:rsidR="00A36E8D">
        <w:rPr>
          <w:bCs/>
          <w:iCs/>
        </w:rPr>
        <w:t xml:space="preserve"> </w:t>
      </w:r>
      <w:r w:rsidR="00A36E8D" w:rsidRPr="00A36E8D">
        <w:rPr>
          <w:bCs/>
          <w:iCs/>
        </w:rPr>
        <w:t>party funds</w:t>
      </w:r>
      <w:r w:rsidR="00A36E8D">
        <w:rPr>
          <w:bCs/>
          <w:iCs/>
        </w:rPr>
        <w:t xml:space="preserve">; </w:t>
      </w:r>
      <w:r w:rsidR="00A36E8D" w:rsidRPr="00A36E8D">
        <w:rPr>
          <w:bCs/>
          <w:iCs/>
        </w:rPr>
        <w:t>dividend policy</w:t>
      </w:r>
      <w:r w:rsidR="00A36E8D">
        <w:rPr>
          <w:bCs/>
          <w:iCs/>
        </w:rPr>
        <w:t xml:space="preserve">; </w:t>
      </w:r>
      <w:r w:rsidR="00A36E8D" w:rsidRPr="00A36E8D">
        <w:rPr>
          <w:bCs/>
          <w:iCs/>
        </w:rPr>
        <w:t>profitability</w:t>
      </w:r>
    </w:p>
    <w:p w14:paraId="77FB6D39" w14:textId="77777777" w:rsidR="00DB1904" w:rsidRDefault="00DB1904" w:rsidP="004D2B0E">
      <w:pPr>
        <w:spacing w:before="122"/>
        <w:ind w:right="142"/>
        <w:contextualSpacing/>
        <w:jc w:val="center"/>
        <w:rPr>
          <w:b/>
        </w:rPr>
      </w:pPr>
    </w:p>
    <w:p w14:paraId="039A1B5F" w14:textId="77777777" w:rsidR="008114EB" w:rsidRDefault="008114EB" w:rsidP="004D2B0E">
      <w:pPr>
        <w:spacing w:before="122"/>
        <w:ind w:right="142"/>
        <w:contextualSpacing/>
        <w:jc w:val="center"/>
        <w:rPr>
          <w:b/>
        </w:rPr>
      </w:pPr>
    </w:p>
    <w:p w14:paraId="4A18C222" w14:textId="77777777" w:rsidR="00E727F7" w:rsidRDefault="00E727F7" w:rsidP="00642A10">
      <w:pPr>
        <w:jc w:val="both"/>
      </w:pPr>
    </w:p>
    <w:p w14:paraId="32DC7C27" w14:textId="77777777" w:rsidR="008114EB" w:rsidRDefault="008114EB" w:rsidP="00642A10">
      <w:pPr>
        <w:jc w:val="both"/>
      </w:pPr>
    </w:p>
    <w:p w14:paraId="4F93A9ED" w14:textId="77777777" w:rsidR="008114EB" w:rsidRDefault="008114EB" w:rsidP="00642A10">
      <w:pPr>
        <w:jc w:val="both"/>
      </w:pPr>
    </w:p>
    <w:p w14:paraId="6EEAC70E" w14:textId="77777777" w:rsidR="008114EB" w:rsidRDefault="008114EB" w:rsidP="00642A10">
      <w:pPr>
        <w:jc w:val="both"/>
      </w:pPr>
    </w:p>
    <w:p w14:paraId="3FE35BBF" w14:textId="77777777" w:rsidR="001C61F9" w:rsidRDefault="001C61F9" w:rsidP="00642A10">
      <w:pPr>
        <w:jc w:val="both"/>
      </w:pPr>
    </w:p>
    <w:p w14:paraId="10438B60" w14:textId="77777777" w:rsidR="001C61F9" w:rsidRDefault="001C61F9" w:rsidP="00642A10">
      <w:pPr>
        <w:jc w:val="both"/>
      </w:pPr>
    </w:p>
    <w:p w14:paraId="0A46A550" w14:textId="77777777" w:rsidR="001C61F9" w:rsidRDefault="001C61F9" w:rsidP="00642A10">
      <w:pPr>
        <w:jc w:val="both"/>
      </w:pPr>
    </w:p>
    <w:p w14:paraId="5340B3D2" w14:textId="77777777" w:rsidR="001C61F9" w:rsidRDefault="001C61F9" w:rsidP="00642A10">
      <w:pPr>
        <w:jc w:val="both"/>
      </w:pPr>
    </w:p>
    <w:p w14:paraId="743F5D3F" w14:textId="77777777" w:rsidR="001C61F9" w:rsidRDefault="001C61F9" w:rsidP="00642A10">
      <w:pPr>
        <w:jc w:val="both"/>
      </w:pPr>
    </w:p>
    <w:p w14:paraId="3DE9318C" w14:textId="77777777" w:rsidR="008114EB" w:rsidRDefault="008114EB" w:rsidP="00642A10">
      <w:pPr>
        <w:jc w:val="both"/>
      </w:pPr>
    </w:p>
    <w:p w14:paraId="361EA4D9" w14:textId="77777777" w:rsidR="008114EB" w:rsidRDefault="008114EB" w:rsidP="00642A10">
      <w:pPr>
        <w:jc w:val="both"/>
      </w:pPr>
    </w:p>
    <w:p w14:paraId="50A6DC44" w14:textId="77777777" w:rsidR="004D2B0E" w:rsidRDefault="004D2B0E" w:rsidP="00642A10">
      <w:pPr>
        <w:jc w:val="both"/>
        <w:rPr>
          <w:sz w:val="24"/>
          <w:szCs w:val="24"/>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84"/>
        <w:gridCol w:w="5380"/>
      </w:tblGrid>
      <w:tr w:rsidR="000B5092" w14:paraId="31E815CB" w14:textId="77777777" w:rsidTr="000D2372">
        <w:tc>
          <w:tcPr>
            <w:tcW w:w="2155" w:type="dxa"/>
          </w:tcPr>
          <w:p w14:paraId="2C5D08D4" w14:textId="77777777" w:rsidR="00CC6122" w:rsidRPr="00936FA8" w:rsidRDefault="00BC2F61" w:rsidP="00D33921">
            <w:r>
              <w:t>DOI</w:t>
            </w:r>
          </w:p>
        </w:tc>
        <w:tc>
          <w:tcPr>
            <w:tcW w:w="284" w:type="dxa"/>
          </w:tcPr>
          <w:p w14:paraId="0828649E" w14:textId="77777777" w:rsidR="00CC6122" w:rsidRPr="00936FA8" w:rsidRDefault="00BC2F61" w:rsidP="00D33921">
            <w:r w:rsidRPr="00936FA8">
              <w:t>:</w:t>
            </w:r>
          </w:p>
        </w:tc>
        <w:tc>
          <w:tcPr>
            <w:tcW w:w="5380" w:type="dxa"/>
          </w:tcPr>
          <w:p w14:paraId="10A8AC56" w14:textId="77777777" w:rsidR="00CC6122" w:rsidRDefault="00BC2F61" w:rsidP="005D3398">
            <w:pPr>
              <w:rPr>
                <w:sz w:val="24"/>
                <w:szCs w:val="24"/>
              </w:rPr>
            </w:pPr>
            <w:r>
              <w:rPr>
                <w:sz w:val="24"/>
                <w:szCs w:val="24"/>
              </w:rPr>
              <w:t>http://dx.doi.org/</w:t>
            </w:r>
            <w:r w:rsidR="00A57649" w:rsidRPr="00A57649">
              <w:rPr>
                <w:shd w:val="clear" w:color="auto" w:fill="FFFFFF"/>
              </w:rPr>
              <w:t>10.32503/jmk</w:t>
            </w:r>
            <w:r w:rsidR="00A57649" w:rsidRPr="0078607D">
              <w:rPr>
                <w:shd w:val="clear" w:color="auto" w:fill="FFFFFF"/>
              </w:rPr>
              <w:t>.</w:t>
            </w:r>
          </w:p>
        </w:tc>
      </w:tr>
      <w:tr w:rsidR="000B5092" w14:paraId="41161D0C" w14:textId="77777777" w:rsidTr="000D2372">
        <w:trPr>
          <w:trHeight w:val="188"/>
        </w:trPr>
        <w:tc>
          <w:tcPr>
            <w:tcW w:w="2155" w:type="dxa"/>
          </w:tcPr>
          <w:p w14:paraId="2F98C937" w14:textId="77777777" w:rsidR="00CC6122" w:rsidRPr="00936FA8" w:rsidRDefault="00BC2F61" w:rsidP="00D33921">
            <w:r w:rsidRPr="00936FA8">
              <w:t>Arti</w:t>
            </w:r>
            <w:r w:rsidR="001C61F9">
              <w:t>cle History</w:t>
            </w:r>
          </w:p>
        </w:tc>
        <w:tc>
          <w:tcPr>
            <w:tcW w:w="284" w:type="dxa"/>
          </w:tcPr>
          <w:p w14:paraId="136C0CDD" w14:textId="77777777" w:rsidR="00CC6122" w:rsidRPr="00936FA8" w:rsidRDefault="00BC2F61" w:rsidP="00D33921">
            <w:r w:rsidRPr="00936FA8">
              <w:t>:</w:t>
            </w:r>
          </w:p>
        </w:tc>
        <w:tc>
          <w:tcPr>
            <w:tcW w:w="5380" w:type="dxa"/>
          </w:tcPr>
          <w:p w14:paraId="33363182" w14:textId="019984C0" w:rsidR="00CC6122" w:rsidRPr="00984007" w:rsidRDefault="00BC2F61" w:rsidP="00B85B28">
            <w:r>
              <w:t>Arti</w:t>
            </w:r>
            <w:r w:rsidR="001C61F9">
              <w:t>cle received</w:t>
            </w:r>
            <w:r>
              <w:t xml:space="preserve"> (</w:t>
            </w:r>
            <w:r w:rsidR="00587B55">
              <w:rPr>
                <w:lang w:val="en-US"/>
              </w:rPr>
              <w:t>4 Dec 2024</w:t>
            </w:r>
            <w:r>
              <w:t>); revis</w:t>
            </w:r>
            <w:r w:rsidR="001C61F9">
              <w:t>ed</w:t>
            </w:r>
            <w:r>
              <w:t xml:space="preserve"> (</w:t>
            </w:r>
            <w:r w:rsidR="00664B0A">
              <w:rPr>
                <w:lang w:val="en-US"/>
              </w:rPr>
              <w:t>24 Dec 2024</w:t>
            </w:r>
            <w:r>
              <w:t xml:space="preserve">); </w:t>
            </w:r>
            <w:r w:rsidR="001C61F9">
              <w:t>accepted</w:t>
            </w:r>
            <w:r>
              <w:t xml:space="preserve"> (</w:t>
            </w:r>
            <w:r w:rsidR="000949E1">
              <w:rPr>
                <w:lang w:val="en-US"/>
              </w:rPr>
              <w:t>17 Feb</w:t>
            </w:r>
            <w:r w:rsidR="00587B55">
              <w:rPr>
                <w:lang w:val="en-US"/>
              </w:rPr>
              <w:t xml:space="preserve"> 2025</w:t>
            </w:r>
            <w:r>
              <w:t>)</w:t>
            </w:r>
          </w:p>
        </w:tc>
      </w:tr>
      <w:tr w:rsidR="000B5092" w14:paraId="51A297DA" w14:textId="77777777" w:rsidTr="000D2372">
        <w:trPr>
          <w:trHeight w:val="209"/>
        </w:trPr>
        <w:tc>
          <w:tcPr>
            <w:tcW w:w="2155" w:type="dxa"/>
          </w:tcPr>
          <w:p w14:paraId="08652084" w14:textId="77777777" w:rsidR="008114EB" w:rsidRPr="00FC746C" w:rsidRDefault="00BC2F61" w:rsidP="00D33921">
            <w:pPr>
              <w:rPr>
                <w:lang w:val="en-US"/>
              </w:rPr>
            </w:pPr>
            <w:r>
              <w:t>Email Co-Autho</w:t>
            </w:r>
            <w:r w:rsidR="007C1B52">
              <w:t>r</w:t>
            </w:r>
          </w:p>
        </w:tc>
        <w:tc>
          <w:tcPr>
            <w:tcW w:w="284" w:type="dxa"/>
          </w:tcPr>
          <w:p w14:paraId="2A9D228C" w14:textId="77777777" w:rsidR="008114EB" w:rsidRPr="00936FA8" w:rsidRDefault="00BC2F61" w:rsidP="00D33921">
            <w:r>
              <w:t>:</w:t>
            </w:r>
          </w:p>
        </w:tc>
        <w:tc>
          <w:tcPr>
            <w:tcW w:w="5380" w:type="dxa"/>
          </w:tcPr>
          <w:p w14:paraId="69433058" w14:textId="77777777" w:rsidR="008114EB" w:rsidRPr="007C1B52" w:rsidRDefault="00BC2F61" w:rsidP="00B85B28">
            <w:pPr>
              <w:rPr>
                <w:bCs/>
                <w:i/>
                <w:iCs/>
              </w:rPr>
            </w:pPr>
            <w:r w:rsidRPr="007C1B52">
              <w:rPr>
                <w:bCs/>
                <w:i/>
                <w:iCs/>
              </w:rPr>
              <w:t>200503110033@student.uin-malang.ac.id</w:t>
            </w:r>
          </w:p>
        </w:tc>
      </w:tr>
    </w:tbl>
    <w:p w14:paraId="65A87802" w14:textId="77777777" w:rsidR="00CC6122" w:rsidRDefault="00BC2F61" w:rsidP="00C30F1F">
      <w:pPr>
        <w:pStyle w:val="ListParagraph"/>
        <w:spacing w:line="240" w:lineRule="auto"/>
        <w:ind w:left="0"/>
        <w:rPr>
          <w:rFonts w:ascii="Times New Roman" w:hAnsi="Times New Roman" w:cs="Times New Roman"/>
          <w:b/>
          <w:color w:val="000000" w:themeColor="text1"/>
          <w:sz w:val="24"/>
          <w:szCs w:val="24"/>
        </w:rPr>
        <w:sectPr w:rsidR="00CC6122" w:rsidSect="00301519">
          <w:headerReference w:type="even" r:id="rId9"/>
          <w:headerReference w:type="default" r:id="rId10"/>
          <w:footerReference w:type="default" r:id="rId11"/>
          <w:headerReference w:type="first" r:id="rId12"/>
          <w:footerReference w:type="first" r:id="rId13"/>
          <w:type w:val="oddPage"/>
          <w:pgSz w:w="11906" w:h="16838" w:code="9"/>
          <w:pgMar w:top="1701" w:right="1701" w:bottom="1701" w:left="2268" w:header="709" w:footer="851" w:gutter="0"/>
          <w:pgNumType w:start="13"/>
          <w:cols w:space="565"/>
          <w:titlePg/>
          <w:docGrid w:linePitch="360"/>
        </w:sectPr>
      </w:pPr>
      <w:r>
        <w:rPr>
          <w:rFonts w:ascii="Times New Roman" w:hAnsi="Times New Roman" w:cs="Times New Roman"/>
          <w:b/>
          <w:noProof/>
          <w:color w:val="000000" w:themeColor="text1"/>
          <w:sz w:val="24"/>
          <w:szCs w:val="24"/>
          <w:lang w:val="en-US"/>
        </w:rPr>
        <w:drawing>
          <wp:anchor distT="0" distB="0" distL="114300" distR="114300" simplePos="0" relativeHeight="251660288" behindDoc="0" locked="0" layoutInCell="1" allowOverlap="1" wp14:anchorId="56DEF6DA" wp14:editId="42B0F551">
            <wp:simplePos x="0" y="0"/>
            <wp:positionH relativeFrom="column">
              <wp:posOffset>139065</wp:posOffset>
            </wp:positionH>
            <wp:positionV relativeFrom="paragraph">
              <wp:posOffset>43700</wp:posOffset>
            </wp:positionV>
            <wp:extent cx="2620934" cy="291701"/>
            <wp:effectExtent l="0" t="0" r="0" b="0"/>
            <wp:wrapNone/>
            <wp:docPr id="1198790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90781"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620934" cy="291701"/>
                    </a:xfrm>
                    <a:prstGeom prst="rect">
                      <a:avLst/>
                    </a:prstGeom>
                    <a:noFill/>
                  </pic:spPr>
                </pic:pic>
              </a:graphicData>
            </a:graphic>
          </wp:anchor>
        </w:drawing>
      </w:r>
    </w:p>
    <w:p w14:paraId="0B10E190" w14:textId="77777777" w:rsidR="001C61F9" w:rsidRDefault="00BC2F61" w:rsidP="001C61F9">
      <w:pPr>
        <w:pStyle w:val="ListParagraph"/>
        <w:spacing w:line="240" w:lineRule="auto"/>
        <w:ind w:left="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Introductio</w:t>
      </w:r>
      <w:r w:rsidR="00DD5BC2">
        <w:rPr>
          <w:rFonts w:ascii="Times New Roman" w:hAnsi="Times New Roman" w:cs="Times New Roman"/>
          <w:b/>
          <w:color w:val="000000" w:themeColor="text1"/>
          <w:sz w:val="28"/>
          <w:szCs w:val="28"/>
        </w:rPr>
        <w:t>n</w:t>
      </w:r>
    </w:p>
    <w:p w14:paraId="21A9F5F4" w14:textId="24DA0DB6" w:rsidR="001C61F9" w:rsidRDefault="00BC2F61" w:rsidP="001C61F9">
      <w:pPr>
        <w:pStyle w:val="ListParagraph"/>
        <w:spacing w:line="240" w:lineRule="auto"/>
        <w:ind w:left="0" w:firstLine="567"/>
        <w:jc w:val="both"/>
        <w:rPr>
          <w:rFonts w:ascii="Times New Roman" w:hAnsi="Times New Roman" w:cs="Times New Roman"/>
          <w:bCs/>
          <w:sz w:val="24"/>
          <w:szCs w:val="24"/>
        </w:rPr>
      </w:pPr>
      <w:r w:rsidRPr="0098769F">
        <w:rPr>
          <w:rFonts w:ascii="Times New Roman" w:hAnsi="Times New Roman" w:cs="Times New Roman"/>
          <w:bCs/>
          <w:sz w:val="24"/>
          <w:szCs w:val="24"/>
        </w:rPr>
        <w:t>The Islamic banking industry in Asia has experienced significant growth over the past few decades. Countries such as Malaysia, Indonesia, and the United Arab Emirates have become key hubs for the development of this sector. The increase in total assets, which will reach nearly $700 billion in Saudi Arabia by 2022, reflects the rising demand for financial products and services that comply with Shariah principles</w:t>
      </w:r>
      <w:r w:rsidR="00CC7019">
        <w:rPr>
          <w:rFonts w:ascii="Times New Roman" w:hAnsi="Times New Roman" w:cs="Times New Roman"/>
          <w:bCs/>
          <w:sz w:val="24"/>
          <w:szCs w:val="24"/>
        </w:rPr>
        <w:t>.</w:t>
      </w:r>
      <w:r>
        <w:rPr>
          <w:rFonts w:ascii="Times New Roman" w:hAnsi="Times New Roman" w:cs="Times New Roman"/>
          <w:bCs/>
          <w:sz w:val="24"/>
          <w:szCs w:val="24"/>
        </w:rPr>
        <w:t xml:space="preserve"> </w:t>
      </w:r>
      <w:r w:rsidR="00AA68DC" w:rsidRPr="00461C8E">
        <w:rPr>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{"citationItems":[{"id":"ITEM-1","itemData":{"abstract":"93 Islamic Banking 96 Takaful 98 Regulatory and Supervisory Framework 99 Talent Development 102 Regional and International Interlinkages","author":[{"dropping-particle":"","family":"Islamic finance development report","given":"","non-dropping-particle":"","parse-names":false,"suffix":""}],"container-title":"Refinitiv: An LSEG Business","id":"ITEM-1","issued":{"date-parts":[["2021"]]},"page":"78","title":"Islamic finance development report 2021: Advancing economies","type":"article-journal"},"uris":["http://www.mendeley.com/documents/?uuid=3681fae8-cca0-4be0-a1bf-a9c29f3e2adb","http://www.mendeley.com/documents/?uuid=0bcae031-a66f-4f81-96a6-0ab63bf9942b"]}],"mendeley":{"formattedCitation":"(Islamic finance development report, 2021)","manualFormatting":"(IFDP, 2021","plainTextFormattedCitation":"(Islamic finance development report, 2021)","previouslyFormattedCitation":"(Islamic finance development report, 2021)"},"properties":{"noteIndex":0},"schema":"https://github.com/citation-style-language/schema/raw/master/csl-citation.json"}</w:instrText>
      </w:r>
      <w:r w:rsidR="00AA68DC" w:rsidRPr="00461C8E">
        <w:rPr>
          <w:rFonts w:ascii="Times New Roman" w:hAnsi="Times New Roman" w:cs="Times New Roman"/>
          <w:sz w:val="24"/>
        </w:rPr>
        <w:fldChar w:fldCharType="separate"/>
      </w:r>
      <w:r w:rsidR="00AA68DC" w:rsidRPr="00461C8E">
        <w:rPr>
          <w:rFonts w:ascii="Times New Roman" w:hAnsi="Times New Roman" w:cs="Times New Roman"/>
          <w:noProof/>
          <w:sz w:val="24"/>
        </w:rPr>
        <w:t>(IFDP, 2021</w:t>
      </w:r>
      <w:r w:rsidR="00AA68DC" w:rsidRPr="00461C8E">
        <w:rPr>
          <w:rFonts w:ascii="Times New Roman" w:hAnsi="Times New Roman" w:cs="Times New Roman"/>
          <w:sz w:val="24"/>
        </w:rPr>
        <w:fldChar w:fldCharType="end"/>
      </w:r>
      <w:r w:rsidR="00AA68DC">
        <w:rPr>
          <w:rFonts w:ascii="Times New Roman" w:hAnsi="Times New Roman" w:cs="Times New Roman"/>
          <w:sz w:val="24"/>
        </w:rPr>
        <w:t xml:space="preserve">; </w:t>
      </w:r>
      <w:r w:rsidR="00AA68DC" w:rsidRPr="00461C8E">
        <w:rPr>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{"citationItems":[{"id":"ITEM-1","itemData":{"DOI":"10.29040/jiei.v8i3.6408","ISSN":"2477-6157","abstract":"Industrial revolution 4.0 brings various kinds of changes in the order of people's lives. The \r changes felt in the current digital era have affected several aspects, including the financial \r industry in Islamic banking. The purpose of this study is to determine the strategy of the Islamic \r banking industry in facing the digital era. Data analysis using descriptive qualitative. The \r results of the study indicate that the strategy of the Islamic banking industry in facing the digital \r era can be done by providing a form of good service and attention to customers. In addition to \r various services that make it easier for customers, such as Internet Banking, various other \r services can help. Second, phone banking is an important tool for engaging with constituents. \r Third, there is a way to go to the bank using text messages. Fourth, is the presence of mobile \r banking services, in this case, banks can cooperate with other cellular network operators, so \r that a SIM card (cellular chip card) and Global for Mobile Communications (GSM) are \r installed with a special program to be able to conduct banking transactions, thus making all \r activities customer transaction operations are much easier, more practical and safer.\r Keywords : Strategy, Digital era, Digital Banking.","author":[{"dropping-particle":"","family":"Tartila","given":"Muzayyana","non-dropping-particle":"","parse-names":false,"suffix":""}],"container-title":"Jurnal Ilmiah Ekonomi Islam","id":"ITEM-1","issue":"3","issued":{"date-parts":[["2022"]]},"page":"3310","title":"Strategi Industri Perbankan Syariah dalam Menghadapi Era Digital","type":"article-journal","volume":"8"},"uris":["http://www.mendeley.com/documents/?uuid=a00c5f32-b400-4af9-9c55-1096f4681778","http://www.mendeley.com/documents/?uuid=1c2f9cce-62ec-4a2c-a099-9c50143c72ec"]}],"mendeley":{"formattedCitation":"(Tartila, 2022)","manualFormatting":"Tartila, 2022)","plainTextFormattedCitation":"(Tartila, 2022)","previouslyFormattedCitation":"(Tartila, 2022)"},"properties":{"noteIndex":0},"schema":"https://github.com/citation-style-language/schema/raw/master/csl-citation.json"}</w:instrText>
      </w:r>
      <w:r w:rsidR="00AA68DC" w:rsidRPr="00461C8E">
        <w:rPr>
          <w:rFonts w:ascii="Times New Roman" w:hAnsi="Times New Roman" w:cs="Times New Roman"/>
          <w:sz w:val="24"/>
        </w:rPr>
        <w:fldChar w:fldCharType="separate"/>
      </w:r>
      <w:r w:rsidR="00AA68DC" w:rsidRPr="00461C8E">
        <w:rPr>
          <w:rFonts w:ascii="Times New Roman" w:hAnsi="Times New Roman" w:cs="Times New Roman"/>
          <w:noProof/>
          <w:sz w:val="24"/>
        </w:rPr>
        <w:t>Tartila, 2022)</w:t>
      </w:r>
      <w:r w:rsidR="00AA68DC" w:rsidRPr="00461C8E">
        <w:rPr>
          <w:rFonts w:ascii="Times New Roman" w:hAnsi="Times New Roman" w:cs="Times New Roman"/>
          <w:sz w:val="24"/>
        </w:rPr>
        <w:fldChar w:fldCharType="end"/>
      </w:r>
      <w:r w:rsidR="00BB2513" w:rsidRPr="00BB2513">
        <w:rPr>
          <w:rFonts w:ascii="Times New Roman" w:hAnsi="Times New Roman" w:cs="Times New Roman"/>
          <w:bCs/>
          <w:sz w:val="24"/>
          <w:szCs w:val="24"/>
        </w:rPr>
        <w:t xml:space="preserve">. </w:t>
      </w:r>
      <w:r w:rsidRPr="0098769F">
        <w:rPr>
          <w:rFonts w:ascii="Times New Roman" w:hAnsi="Times New Roman" w:cs="Times New Roman"/>
          <w:bCs/>
          <w:sz w:val="24"/>
          <w:szCs w:val="24"/>
        </w:rPr>
        <w:t>This growth has been driven by factors such as the increasing Muslim population, heightened awareness of Shariah financial literacy, and supportive government policies</w:t>
      </w:r>
      <w:r w:rsidR="00BB2513" w:rsidRPr="00BB2513">
        <w:rPr>
          <w:rFonts w:ascii="Times New Roman" w:hAnsi="Times New Roman" w:cs="Times New Roman"/>
          <w:bCs/>
          <w:sz w:val="24"/>
          <w:szCs w:val="24"/>
        </w:rPr>
        <w:t xml:space="preserve"> </w:t>
      </w:r>
      <w:r w:rsidR="00AA68DC" w:rsidRPr="00461C8E">
        <w:rPr>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{"citationItems":[{"id":"ITEM-1","itemData":{"DOI":"10.22219/jes.v4i1.8700","ISSN":"2502-3918","abstract":"The development of Islamic Banking in Southeast Asia is growing rapidly. Statistical data shows that Southeast Asia has become one of the centers for the development of the global Islamic finance industry. Literally, Indonesia and Malaysia is two countries in the region that have become dynamos for the development of the Islamic banking industry in ASEAN countries, this condition has encouraged other countries to be discussed in the development of the Islamic banking industry. The method of this paper is historical approach, which documentary methods in data collection techniques by analyzing documents that are relevant to the research topic. The conclusion of this study is that significant developments still occur in two countries, namely Malaysia and Indonesia, whereas in some countries such as Thailand, Singapore and the Philippines the development of Islamic banking is still minimal.","author":[{"dropping-particle":"","family":"Ghozali","given":"Mohammad","non-dropping-particle":"","parse-names":false,"suffix":""},{"dropping-particle":"","family":"Azmi","given":"Muhammad Ulul","non-dropping-particle":"","parse-names":false,"suffix":""},{"dropping-particle":"","family":"Nugroho","given":"Wahyu","non-dropping-particle":"","parse-names":false,"suffix":""}],"container-title":"Falah: Jurnal Ekonomi Syariah","id":"ITEM-1","issue":"1","issued":{"date-parts":[["2019"]]},"page":"44","title":"Perkembangan Bank Syariah Di Asia Tenggara: Sebuah Kajian Historis","type":"article-journal","volume":"4"},"uris":["http://www.mendeley.com/documents/?uuid=092ad904-a010-4d04-97b7-ffa56d83284d","http://www.mendeley.com/documents/?uuid=69b0f1da-392b-48c1-b750-5e48c28bfc13"]}],"mendeley":{"formattedCitation":"(Ghozali, Azmi, and Nugroho, 2019)","plainTextFormattedCitation":"(Ghozali, Azmi, and Nugroho, 2019)","previouslyFormattedCitation":"(Ghozali, Azmi, and Nugroho, 2019)"},"properties":{"noteIndex":0},"schema":"https://github.com/citation-style-language/schema/raw/master/csl-citation.json"}</w:instrText>
      </w:r>
      <w:r w:rsidR="00AA68DC" w:rsidRPr="00461C8E">
        <w:rPr>
          <w:rFonts w:ascii="Times New Roman" w:hAnsi="Times New Roman" w:cs="Times New Roman"/>
          <w:sz w:val="24"/>
        </w:rPr>
        <w:fldChar w:fldCharType="separate"/>
      </w:r>
      <w:r w:rsidR="0014663C" w:rsidRPr="0014663C">
        <w:rPr>
          <w:rFonts w:ascii="Times New Roman" w:hAnsi="Times New Roman" w:cs="Times New Roman"/>
          <w:noProof/>
          <w:sz w:val="24"/>
        </w:rPr>
        <w:t>(Ghozali et al., 2019)</w:t>
      </w:r>
      <w:r w:rsidR="00AA68DC" w:rsidRPr="00461C8E">
        <w:rPr>
          <w:rFonts w:ascii="Times New Roman" w:hAnsi="Times New Roman" w:cs="Times New Roman"/>
          <w:sz w:val="24"/>
        </w:rPr>
        <w:fldChar w:fldCharType="end"/>
      </w:r>
      <w:r w:rsidR="00BB2513" w:rsidRPr="00BB2513">
        <w:rPr>
          <w:rFonts w:ascii="Times New Roman" w:hAnsi="Times New Roman" w:cs="Times New Roman"/>
          <w:bCs/>
          <w:sz w:val="24"/>
          <w:szCs w:val="24"/>
        </w:rPr>
        <w:t>.</w:t>
      </w:r>
    </w:p>
    <w:p w14:paraId="104D64AA" w14:textId="56D5BFAD" w:rsidR="001C61F9" w:rsidRDefault="00BC2F61" w:rsidP="001C61F9">
      <w:pPr>
        <w:pStyle w:val="ListParagraph"/>
        <w:spacing w:line="240" w:lineRule="auto"/>
        <w:ind w:left="0" w:firstLine="567"/>
        <w:jc w:val="both"/>
        <w:rPr>
          <w:rFonts w:ascii="Times New Roman" w:hAnsi="Times New Roman" w:cs="Times New Roman"/>
          <w:bCs/>
          <w:sz w:val="24"/>
          <w:szCs w:val="24"/>
        </w:rPr>
      </w:pPr>
      <w:r w:rsidRPr="0098769F">
        <w:rPr>
          <w:rFonts w:ascii="Times New Roman" w:hAnsi="Times New Roman" w:cs="Times New Roman"/>
          <w:bCs/>
          <w:sz w:val="24"/>
          <w:szCs w:val="24"/>
        </w:rPr>
        <w:t xml:space="preserve">In addition, advancements in digital technology have spurred a transformation in financial services, with Islamic banks expanding their adoption of digital services and innovative business models </w:t>
      </w:r>
      <w:r w:rsidR="00AA68DC" w:rsidRPr="00461C8E">
        <w:rPr>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{"citationItems":[{"id":"ITEM-1","itemData":{"abstract":"The development of sharia banking in Indonesia has advances in information technology (IT) which have brought significant changes in the way sharia banks offer their products and services. This research discusses sharia banking in Indonesia. This research uses a qualitative study using a liberal research approach by looking for reliable information from written sources, such as books, journals and websites. In the results of this research, E-Banking not only provides comfort but also convenience because the menus on internet banking can be used without having to have special skills, and is safe because internet banking is equipped with a layered security system and is equipped with a token (a tool that issues password numbers). which always changes every time you make a financial transaction). Internet Banking services have many features and provide convenience, comfort and security so that sharia banking services can run easily and efficiently with qualified bank security services, smooth and easy e-banking services are obtained by customers who use e-banking products, in Islamic transactions contain sharia contracts that are applied in the sharia financial institution industry such as: Murabahah Mudharabah, Mudharabah Muqayyadah, Wadiah, Musyarokah, Musyarakah Mutanaqisah, Salam, Istishna, Ijarah, Ijarah Muntahiyah bit Tamlik, Wakalah, Kafalah, hawalah, Rahn, Qordh.","author":[{"dropping-particle":"","family":"Islamiah","given":"Ifa Nurul","non-dropping-particle":"","parse-names":false,"suffix":""},{"dropping-particle":"","family":"Nurnasrina","given":"","non-dropping-particle":"","parse-names":false,"suffix":""},{"dropping-particle":"","family":"Salman","given":"Nola Fibriyani Bte","non-dropping-particle":"","parse-names":false,"suffix":""},{"dropping-particle":"","family":"Huda","given":"Nurul","non-dropping-particle":"","parse-names":false,"suffix":""}],"container-title":"Sharing: Journal Of Islamic Economics, Management, and Business","id":"ITEM-1","issue":"1","issued":{"date-parts":[["2024"]]},"page":"91-104","title":"Transformasi Digital Pada Perbankan Syariah Indonesia: Produk IT Dan Jenis Transaksi","type":"article-journal","volume":"3"},"uris":["http://www.mendeley.com/documents/?uuid=3bd43d62-d62a-437d-aa19-064d06a586b6","http://www.mendeley.com/documents/?uuid=104d8056-d11c-4b85-875f-77179dadd81c"]}],"mendeley":{"formattedCitation":"(Islamiah, Nurnasrina, Salman, and Huda, 2024)","plainTextFormattedCitation":"(Islamiah, Nurnasrina, Salman, and Huda, 2024)","previouslyFormattedCitation":"(Islamiah, Nurnasrina, Salman, and Huda, 2024)"},"properties":{"noteIndex":0},"schema":"https://github.com/citation-style-language/schema/raw/master/csl-citation.json"}</w:instrText>
      </w:r>
      <w:r w:rsidR="00AA68DC" w:rsidRPr="00461C8E">
        <w:rPr>
          <w:rFonts w:ascii="Times New Roman" w:hAnsi="Times New Roman" w:cs="Times New Roman"/>
          <w:sz w:val="24"/>
        </w:rPr>
        <w:fldChar w:fldCharType="separate"/>
      </w:r>
      <w:r w:rsidR="0014663C" w:rsidRPr="0014663C">
        <w:rPr>
          <w:rFonts w:ascii="Times New Roman" w:hAnsi="Times New Roman" w:cs="Times New Roman"/>
          <w:noProof/>
          <w:sz w:val="24"/>
        </w:rPr>
        <w:t>(Islamiah et al., 2024)</w:t>
      </w:r>
      <w:r w:rsidR="00AA68DC" w:rsidRPr="00461C8E">
        <w:rPr>
          <w:rFonts w:ascii="Times New Roman" w:hAnsi="Times New Roman" w:cs="Times New Roman"/>
          <w:sz w:val="24"/>
        </w:rPr>
        <w:fldChar w:fldCharType="end"/>
      </w:r>
      <w:r w:rsidR="00BB2513" w:rsidRPr="00BB2513">
        <w:rPr>
          <w:rFonts w:ascii="Times New Roman" w:hAnsi="Times New Roman" w:cs="Times New Roman"/>
          <w:bCs/>
          <w:sz w:val="24"/>
          <w:szCs w:val="24"/>
        </w:rPr>
        <w:t xml:space="preserve">. </w:t>
      </w:r>
      <w:r w:rsidRPr="0098769F">
        <w:rPr>
          <w:rFonts w:ascii="Times New Roman" w:hAnsi="Times New Roman" w:cs="Times New Roman"/>
          <w:bCs/>
          <w:sz w:val="24"/>
          <w:szCs w:val="24"/>
        </w:rPr>
        <w:t>This trend presents significant opportunities but also demands a deeper understanding of the factors influencing the profitability of Islamic banks in Asia.</w:t>
      </w:r>
    </w:p>
    <w:p w14:paraId="041B8B21" w14:textId="37A7C8E7" w:rsidR="00BB2513" w:rsidRDefault="00BC2F61" w:rsidP="001C61F9">
      <w:pPr>
        <w:pStyle w:val="ListParagraph"/>
        <w:spacing w:line="240" w:lineRule="auto"/>
        <w:ind w:left="0" w:firstLine="567"/>
        <w:jc w:val="both"/>
        <w:rPr>
          <w:rFonts w:ascii="Times New Roman" w:hAnsi="Times New Roman" w:cs="Times New Roman"/>
          <w:bCs/>
          <w:sz w:val="24"/>
          <w:szCs w:val="24"/>
        </w:rPr>
      </w:pPr>
      <w:r w:rsidRPr="006C387E">
        <w:rPr>
          <w:rFonts w:ascii="Times New Roman" w:hAnsi="Times New Roman" w:cs="Times New Roman"/>
          <w:bCs/>
          <w:sz w:val="24"/>
          <w:szCs w:val="24"/>
        </w:rPr>
        <w:t>Previous research has identified several factors influencing bank profitability, including bank size, third-party funds, and dividend policy</w:t>
      </w:r>
      <w:r>
        <w:rPr>
          <w:rFonts w:ascii="Times New Roman" w:hAnsi="Times New Roman" w:cs="Times New Roman"/>
          <w:bCs/>
          <w:sz w:val="24"/>
          <w:szCs w:val="24"/>
        </w:rPr>
        <w:t xml:space="preserve"> </w:t>
      </w:r>
      <w:r w:rsidRPr="00461C8E">
        <w:rPr>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{"citationItems":[{"id":"ITEM-1","itemData":{"abstract":"Penelitian ini bertujuan untuk meneliti faktor-faktor yang mempengaruhi dana pihak ketiga dan dampaknya terhadap Profitabilitas (ROA) survey pada BPR Syariah di Jawa Barat tahun 2014 – 2017. Pengumpulan data dilakukan dengan pengambilan data sekunder berupa laporan keuangan tahunan 14 BPR Syariah yang berada di Jawa Barat periode 2014 – 2017 dimana laporan keuangan dibuat data panel dan diolah dengan software Eviews 10. Metode analisis yang digunakan adalah analisis deksriptif. Analisis data meliputi uji asumsi klasik, analisis regresi, serta pengujian hipotesis secara parsial dan simultan. Hasil penelitian ini menunjukan bahwa (1) Financing to Deposit Ratio terhadap Dana Pihak Ketiga tidak berpengaruh signifikan, (2) Capital Adequacy Ratio terhadap Dana Pihak Ketiga tidak berpengaruh signifikan, (3) Non Performing Financing terhadap Dana Pihak Ketiga tidak berpengaruh signifikan, (4) BOPO terhadap Dana Pihak Ketiga berpengaruh signifikan, (5) Financing to Deposit Ratio, Capital Adequacy Ratio, Non Performing Financing dan BOPO secara simultan berpengaruh terhadap Dana Pihak Ketiga dengan tingkat signifikansi Prob. F (Statistic) 0.014997, dan (6) Dana Pihak Ketiga terhadap Profitabilitas(ROA) berpengaruh signifikan. Kata","author":[{"dropping-particle":"","family":"Hidayat","given":"Arif","non-dropping-particle":"","parse-names":false,"suffix":""},{"dropping-particle":"","family":"Sunarsi","given":"Denok","non-dropping-particle":"","parse-names":false,"suffix":""}],"container-title":"Jurnal Proaksi","id":"ITEM-1","issued":{"date-parts":[["2020"]]},"page":"1-12","title":"Faktor-Faktor Yang Mempengaruhi Dana Pihak Ketiga Dan Dampaknya Terhadap Profitabilitas","type":"article-journal","volume":"1"},"uris":["http://www.mendeley.com/documents/?uuid=e7a07325-5f7b-4f53-b497-368a38f2ac6f","http://www.mendeley.com/documents/?uuid=05e7e77e-89cd-49c7-81df-d6bfdef5a7be"]}],"mendeley":{"formattedCitation":"(Hidayat and Sunarsi, 2020)","plainTextFormattedCitation":"(Hidayat and Sunarsi, 2020)","previouslyFormattedCitation":"(Hidayat and Sunarsi, 2020)"},"properties":{"noteIndex":0},"schema":"https://github.com/citation-style-language/schema/raw/master/csl-citation.json"}</w:instrText>
      </w:r>
      <w:r w:rsidRPr="00461C8E">
        <w:rPr>
          <w:rFonts w:ascii="Times New Roman" w:hAnsi="Times New Roman" w:cs="Times New Roman"/>
          <w:sz w:val="24"/>
        </w:rPr>
        <w:fldChar w:fldCharType="separate"/>
      </w:r>
      <w:r w:rsidR="0014663C" w:rsidRPr="0014663C">
        <w:rPr>
          <w:rFonts w:ascii="Times New Roman" w:hAnsi="Times New Roman" w:cs="Times New Roman"/>
          <w:noProof/>
          <w:sz w:val="24"/>
        </w:rPr>
        <w:t>(Hidayat &amp; Sunarsi, 2020)</w:t>
      </w:r>
      <w:r w:rsidRPr="00461C8E">
        <w:rPr>
          <w:rFonts w:ascii="Times New Roman" w:hAnsi="Times New Roman" w:cs="Times New Roman"/>
          <w:sz w:val="24"/>
        </w:rPr>
        <w:fldChar w:fldCharType="end"/>
      </w:r>
      <w:r w:rsidRPr="00BB2513">
        <w:rPr>
          <w:rFonts w:ascii="Times New Roman" w:hAnsi="Times New Roman" w:cs="Times New Roman"/>
          <w:bCs/>
          <w:sz w:val="24"/>
          <w:szCs w:val="24"/>
        </w:rPr>
        <w:t>.</w:t>
      </w:r>
      <w:r>
        <w:rPr>
          <w:rFonts w:ascii="Times New Roman" w:hAnsi="Times New Roman" w:cs="Times New Roman"/>
          <w:bCs/>
          <w:sz w:val="24"/>
          <w:szCs w:val="24"/>
        </w:rPr>
        <w:t xml:space="preserve"> </w:t>
      </w:r>
      <w:r w:rsidRPr="006C387E">
        <w:rPr>
          <w:rFonts w:ascii="Times New Roman" w:hAnsi="Times New Roman" w:cs="Times New Roman"/>
          <w:sz w:val="24"/>
        </w:rPr>
        <w:t>By understanding these relationships, Islamic banks can develop more effective strategies to enhance their financial performance and deliver better services to customers. Furthermore, the findings of this study can provide valuable insights for regulators and policymakers in formulating regulations that support the healthy and sustainable growth of the Islamic banking industry in the Asian region</w:t>
      </w:r>
      <w:r>
        <w:rPr>
          <w:rFonts w:ascii="Times New Roman" w:hAnsi="Times New Roman" w:cs="Times New Roman"/>
          <w:sz w:val="24"/>
        </w:rPr>
        <w:t xml:space="preserve"> </w:t>
      </w:r>
      <w:r w:rsidRPr="00461C8E">
        <w:rPr>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{"citationItems":[{"id":"ITEM-1","itemData":{"abstract":"… Kinerja bisnis adalah hasil dari proses manajemen strategis. Praktik manajemen strategis yang … Ikatan adalah salah satu isu terpenting di era digital saat ini, berbagai penelitian …","author":[{"dropping-particle":"","family":"Ana","given":"Dimas Elly","non-dropping-particle":"","parse-names":false,"suffix":""},{"dropping-particle":"","family":"Zunaidi","given":"Arif","non-dropping-particle":"","parse-names":false,"suffix":""}],"container-title":"Proceedings of Islamic Economics, Business, and Philanthropy","id":"ITEM-1","issue":"1","issued":{"date-parts":[["2022"]]},"page":"167-188","title":"Strategi Perbankan Syariah Dalam Memenangkan Persaingan Di Masa Pandemi Covid-19","type":"article-journal","volume":"1"},"uris":["http://www.mendeley.com/documents/?uuid=f4812785-6fdc-4401-ad2d-143e4471078b","http://www.mendeley.com/documents/?uuid=9529cd6e-0152-4df0-bd42-3b26f6cdffbc"]}],"mendeley":{"formattedCitation":"(Ana and Zunaidi, 2022)","plainTextFormattedCitation":"(Ana and Zunaidi, 2022)","previouslyFormattedCitation":"(Ana and Zunaidi, 2022)"},"properties":{"noteIndex":0},"schema":"https://github.com/citation-style-language/schema/raw/master/csl-citation.json"}</w:instrText>
      </w:r>
      <w:r w:rsidRPr="00461C8E">
        <w:rPr>
          <w:rFonts w:ascii="Times New Roman" w:hAnsi="Times New Roman" w:cs="Times New Roman"/>
          <w:sz w:val="24"/>
        </w:rPr>
        <w:fldChar w:fldCharType="separate"/>
      </w:r>
      <w:r w:rsidR="0014663C" w:rsidRPr="0014663C">
        <w:rPr>
          <w:rFonts w:ascii="Times New Roman" w:hAnsi="Times New Roman" w:cs="Times New Roman"/>
          <w:noProof/>
          <w:sz w:val="24"/>
        </w:rPr>
        <w:t>(Ana &amp; Zunaidi, 2022)</w:t>
      </w:r>
      <w:r w:rsidRPr="00461C8E">
        <w:rPr>
          <w:rFonts w:ascii="Times New Roman" w:hAnsi="Times New Roman" w:cs="Times New Roman"/>
          <w:sz w:val="24"/>
        </w:rPr>
        <w:fldChar w:fldCharType="end"/>
      </w:r>
      <w:r w:rsidRPr="00461C8E">
        <w:rPr>
          <w:rFonts w:ascii="Times New Roman" w:hAnsi="Times New Roman" w:cs="Times New Roman"/>
          <w:sz w:val="24"/>
        </w:rPr>
        <w:t>.</w:t>
      </w:r>
    </w:p>
    <w:p w14:paraId="2FB51B66" w14:textId="11328107" w:rsidR="00BB2513" w:rsidRDefault="00BC2F61" w:rsidP="001C61F9">
      <w:pPr>
        <w:pStyle w:val="ListParagraph"/>
        <w:spacing w:line="240" w:lineRule="auto"/>
        <w:ind w:left="0" w:firstLine="567"/>
        <w:jc w:val="both"/>
        <w:rPr>
          <w:rFonts w:ascii="Times New Roman" w:hAnsi="Times New Roman" w:cs="Times New Roman"/>
          <w:sz w:val="24"/>
        </w:rPr>
      </w:pPr>
      <w:r w:rsidRPr="006C387E">
        <w:rPr>
          <w:rFonts w:ascii="Times New Roman" w:hAnsi="Times New Roman" w:cs="Times New Roman"/>
          <w:bCs/>
          <w:sz w:val="24"/>
          <w:szCs w:val="24"/>
        </w:rPr>
        <w:t>Bank size is considered to reflect the operational scale, the ability to achieve economies of scale, and product diversification</w:t>
      </w:r>
      <w:r>
        <w:rPr>
          <w:rFonts w:ascii="Times New Roman" w:hAnsi="Times New Roman" w:cs="Times New Roman"/>
          <w:bCs/>
          <w:sz w:val="24"/>
          <w:szCs w:val="24"/>
        </w:rPr>
        <w:t xml:space="preserve"> </w:t>
      </w:r>
      <w:r w:rsidR="00363343" w:rsidRPr="00461C8E">
        <w:rPr>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{"citationItems":[{"id":"ITEM-1","itemData":{"ISSN":"2337-3792","abstract":"The existence of differences in the performance levels of various banks in Indonesia and the existence of problems in the banking industry to date have caused a decline in bank performance accompanied by the pandemic caused by COVID-19, making research on the factors that affect bank performance important to study. This study was conducted to analyze the effect of bank size (size), Capital Adequacy Ratio (CAR), Non-Performing Loans (NPL), Income Diversification, Loans to Deposit Ratio (LDR), and Operating Costs and Operating Income (BOPO) on performance. go-public conventional commercial banks in Indonesia. Bank Indonesia's performance in this study was measured using the Return of Assets (ROA). The number of samples used in this study were 25 conventional public banks in Indonesia in the 2016-2020 period. The data selection method used the purposive sampling method. The research data used was obtained based on several reports on banks including bank financial statements, bank annual reports, and Indonesian Banking Publication and Statistics Reports published by the Financial Services Authority. Hypothesis testing in this study used multiple linear regression analysis with SPSS 22 program. The results showed that the Capital Adequacy Ratio (CAR), Income Diversification, and Loans to Deposit Ratio (LDR) had a significant positive effect on bank performance. Bank size (size) has a positive but not significant effect on bank performance in Indonesia, while Non-Performing Loans (NPL) and Operating Costs and Operating Income (BOPO) have a significant negative effect on bank performance in Indonesia for the 2016-2020 period.","author":[{"dropping-particle":"","family":"Damayanti","given":"Almaa Calista","non-dropping-particle":"","parse-names":false,"suffix":""},{"dropping-particle":"","family":"Mawardi","given":"Wisnu","non-dropping-particle":"","parse-names":false,"suffix":""}],"container-title":"Diponegoro Journal of Management","id":"ITEM-1","issue":"1","issued":{"date-parts":[["2022"]]},"page":"1-13","title":"Pengaruh Ukuran Bank (Size), Loans to Deposit Ratio (LDR), Capital Adequacy Ratio (CAR), Non-Performing Loans (NPL), Diversifikasi Pendapatan, dan BOPO Terhadap Kinerja Bank di Indonesia (Studi Pada Bank Umum Konvensional yang Terdaftar di BEI Tahun 2016-","type":"article-journal","volume":"11"},"uris":["http://www.mendeley.com/documents/?uuid=a8c3bb7d-def9-4548-8242-621fa6bd47bd","http://www.mendeley.com/documents/?uuid=76997610-d830-4624-a77b-7f6239b47eb9"]}],"mendeley":{"formattedCitation":"(Damayanti and Mawardi, 2022)","plainTextFormattedCitation":"(Damayanti and Mawardi, 2022)","previouslyFormattedCitation":"(Damayanti and Mawardi, 2022)"},"properties":{"noteIndex":0},"schema":"https://github.com/citation-style-language/schema/raw/master/csl-citation.json"}</w:instrText>
      </w:r>
      <w:r w:rsidR="00363343" w:rsidRPr="00461C8E">
        <w:rPr>
          <w:rFonts w:ascii="Times New Roman" w:hAnsi="Times New Roman" w:cs="Times New Roman"/>
          <w:sz w:val="24"/>
        </w:rPr>
        <w:fldChar w:fldCharType="separate"/>
      </w:r>
      <w:r w:rsidR="0014663C" w:rsidRPr="0014663C">
        <w:rPr>
          <w:rFonts w:ascii="Times New Roman" w:hAnsi="Times New Roman" w:cs="Times New Roman"/>
          <w:noProof/>
          <w:sz w:val="24"/>
        </w:rPr>
        <w:t>(Damayanti &amp; Mawardi, 2022)</w:t>
      </w:r>
      <w:r w:rsidR="00363343" w:rsidRPr="00461C8E">
        <w:rPr>
          <w:rFonts w:ascii="Times New Roman" w:hAnsi="Times New Roman" w:cs="Times New Roman"/>
          <w:sz w:val="24"/>
        </w:rPr>
        <w:fldChar w:fldCharType="end"/>
      </w:r>
      <w:r w:rsidRPr="00BB2513">
        <w:rPr>
          <w:rFonts w:ascii="Times New Roman" w:hAnsi="Times New Roman" w:cs="Times New Roman"/>
          <w:bCs/>
          <w:sz w:val="24"/>
          <w:szCs w:val="24"/>
        </w:rPr>
        <w:t>.</w:t>
      </w:r>
      <w:r w:rsidRPr="00BB2513">
        <w:t xml:space="preserve"> </w:t>
      </w:r>
      <w:r w:rsidRPr="006C387E">
        <w:rPr>
          <w:rFonts w:ascii="Times New Roman" w:hAnsi="Times New Roman" w:cs="Times New Roman"/>
          <w:bCs/>
          <w:sz w:val="24"/>
          <w:szCs w:val="24"/>
        </w:rPr>
        <w:t>Larger banks tend to have better access to resources and markets, which can influence their profitability</w:t>
      </w:r>
      <w:r>
        <w:rPr>
          <w:rFonts w:ascii="Times New Roman" w:hAnsi="Times New Roman" w:cs="Times New Roman"/>
          <w:bCs/>
          <w:sz w:val="24"/>
          <w:szCs w:val="24"/>
        </w:rPr>
        <w:t xml:space="preserve"> </w:t>
      </w:r>
      <w:r w:rsidR="00363343" w:rsidRPr="00461C8E">
        <w:rPr>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DOI":"10.55963/jumpa.v11i1.604","author":[{"dropping-particle":"","family":"Hendari","given":"Shafira","non-dropping-particle":"","parse-names":false,"suffix":""},{"dropping-particle":"","family":"Arifin","given":"Zainal","non-dropping-particle":"","parse-names":false,"suffix":""},{"dropping-particle":"","family":"Yulius","given":"Yopie","non-dropping-particle":"","parse-names":false,"suffix":""},{"dropping-particle":"","family":"Hidayat","given":"Malik","non-dropping-particle":"","parse-names":false,"suffix":""}],"id":"ITEM-1","issued":{"date-parts":[["2024"]]},"page":"23-36","title":"Penilaian Aspek Profitabilitas pada Bank yang Tercatat di Bursa Efek Indonesia Aspects of Profitability Determinants in Banking Listed on the Indonesia Stock Exchange","type":"article-journal","volume":"11"},"uris":["http://www.mendeley.com/documents/?uuid=d3a3a508-bda1-4530-a73d-a8f676d7d8e5","http://www.mendeley.com/documents/?uuid=99977d27-09b3-4b23-ae55-866cecd5e3b3"]}],"mendeley":{"formattedCitation":"(Hendari, Arifin, Yulius, and Hidayat, 2024)","plainTextFormattedCitation":"(Hendari, Arifin, Yulius, and Hidayat, 2024)","previouslyFormattedCitation":"(Hendari, Arifin, Yulius, and Hidayat, 2024)"},"properties":{"noteIndex":0},"schema":"https://github.com/citation-style-language/schema/raw/master/csl-citation.json"}</w:instrText>
      </w:r>
      <w:r w:rsidR="00363343" w:rsidRPr="00461C8E">
        <w:rPr>
          <w:rFonts w:ascii="Times New Roman" w:hAnsi="Times New Roman" w:cs="Times New Roman"/>
          <w:sz w:val="24"/>
        </w:rPr>
        <w:fldChar w:fldCharType="separate"/>
      </w:r>
      <w:r w:rsidR="0014663C" w:rsidRPr="0014663C">
        <w:rPr>
          <w:rFonts w:ascii="Times New Roman" w:hAnsi="Times New Roman" w:cs="Times New Roman"/>
          <w:noProof/>
          <w:sz w:val="24"/>
        </w:rPr>
        <w:t>(Hendari et al., 2024)</w:t>
      </w:r>
      <w:r w:rsidR="00363343" w:rsidRPr="00461C8E">
        <w:rPr>
          <w:rFonts w:ascii="Times New Roman" w:hAnsi="Times New Roman" w:cs="Times New Roman"/>
          <w:sz w:val="24"/>
        </w:rPr>
        <w:fldChar w:fldCharType="end"/>
      </w:r>
      <w:r w:rsidRPr="00BB2513">
        <w:rPr>
          <w:rFonts w:ascii="Times New Roman" w:hAnsi="Times New Roman" w:cs="Times New Roman"/>
          <w:bCs/>
          <w:sz w:val="24"/>
          <w:szCs w:val="24"/>
        </w:rPr>
        <w:t>.</w:t>
      </w:r>
      <w:r>
        <w:rPr>
          <w:rFonts w:ascii="Times New Roman" w:hAnsi="Times New Roman" w:cs="Times New Roman"/>
          <w:bCs/>
          <w:sz w:val="24"/>
          <w:szCs w:val="24"/>
        </w:rPr>
        <w:t xml:space="preserve"> </w:t>
      </w:r>
      <w:r w:rsidRPr="006C387E">
        <w:rPr>
          <w:rFonts w:ascii="Times New Roman" w:hAnsi="Times New Roman" w:cs="Times New Roman"/>
          <w:bCs/>
          <w:sz w:val="24"/>
          <w:szCs w:val="24"/>
        </w:rPr>
        <w:t>Third-party funds serve as the primary source of financing for Islamic banks, originating from customer deposits in the form of demand deposits, savings, and time deposits</w:t>
      </w:r>
      <w:r>
        <w:rPr>
          <w:rFonts w:ascii="Times New Roman" w:hAnsi="Times New Roman" w:cs="Times New Roman"/>
          <w:bCs/>
          <w:sz w:val="24"/>
          <w:szCs w:val="24"/>
        </w:rPr>
        <w:t xml:space="preserve"> </w:t>
      </w:r>
      <w:r w:rsidRPr="00BB2513">
        <w:rPr>
          <w:rFonts w:ascii="Times New Roman" w:hAnsi="Times New Roman" w:cs="Times New Roman"/>
          <w:bCs/>
          <w:sz w:val="24"/>
          <w:szCs w:val="24"/>
        </w:rPr>
        <w:fldChar w:fldCharType="begin" w:fldLock="1"/>
      </w:r>
      <w:r w:rsidR="0014663C">
        <w:rPr>
          <w:rFonts w:ascii="Times New Roman" w:hAnsi="Times New Roman" w:cs="Times New Roman"/>
          <w:bCs/>
          <w:sz w:val="24"/>
          <w:szCs w:val="24"/>
        </w:rPr>
        <w:instrText>ADDIN CSL_CITATION {"citationItems":[{"id":"ITEM-1","itemData":{"DOI":"10.24912/jpa.v1i2.4701","abstract":"This research aims to determine the effect of bank size, capital adequacy ratio, loan to deposit ratio, net interest margin and non performing loan toward the bank profitability. This research uses 33 samples of commercial banks that listed on The Indonesia Stock Exchange in the year of 2015-2017 with the multiple regression analysis technique  using Statistical Product and Service Solution for Windows released 21 (SPSS 21.0) and Microsoft Office Excel 2010. The results of T test indicate that bank size, loan to deposit ratio, net interest marginand non performing loan have a significant effect on bank profitability. Meanwhile, capital adequacy ratio has an insignificant effect on bank profitability. The results of F test indicate that all the variables in this research simultaneously have a significant effect on bank profitability.","author":[{"dropping-particle":"","family":"Liana Susanto","given":"Loraine Pertiwi,","non-dropping-particle":"","parse-names":false,"suffix":""}],"container-title":"Jurnal Paradigma Akuntansi","id":"ITEM-1","issue":"2","issued":{"date-parts":[["2019"]]},"page":"282","title":"Faktor Yang Mempengaruhi Profitabilitas Pada Perbankan Yang Terdaftar Di Bei","type":"article-journal","volume":"1"},"uris":["http://www.mendeley.com/documents/?uuid=3ad00d24-f96e-42a5-8b96-a78e5e4e1f32","http://www.mendeley.com/documents/?uuid=f8834e5c-2695-4cb6-b13b-a261981f03a4"]}],"mendeley":{"formattedCitation":"(Liana Susanto, 2019)","plainTextFormattedCitation":"(Liana Susanto, 2019)","previouslyFormattedCitation":"(Liana Susanto, 2019)"},"properties":{"noteIndex":0},"schema":"https://github.com/citation-style-language/schema/raw/master/csl-citation.json"}</w:instrText>
      </w:r>
      <w:r w:rsidRPr="00BB2513">
        <w:rPr>
          <w:rFonts w:ascii="Times New Roman" w:hAnsi="Times New Roman" w:cs="Times New Roman"/>
          <w:bCs/>
          <w:sz w:val="24"/>
          <w:szCs w:val="24"/>
        </w:rPr>
        <w:fldChar w:fldCharType="separate"/>
      </w:r>
      <w:r w:rsidRPr="00BB2513">
        <w:rPr>
          <w:rFonts w:ascii="Times New Roman" w:hAnsi="Times New Roman" w:cs="Times New Roman"/>
          <w:bCs/>
          <w:noProof/>
          <w:sz w:val="24"/>
          <w:szCs w:val="24"/>
        </w:rPr>
        <w:t>(Liana Susanto, 2019)</w:t>
      </w:r>
      <w:r w:rsidRPr="00BB2513">
        <w:rPr>
          <w:rFonts w:ascii="Times New Roman" w:hAnsi="Times New Roman" w:cs="Times New Roman"/>
          <w:bCs/>
          <w:sz w:val="24"/>
          <w:szCs w:val="24"/>
        </w:rPr>
        <w:fldChar w:fldCharType="end"/>
      </w:r>
      <w:r w:rsidRPr="00BB2513">
        <w:rPr>
          <w:rFonts w:ascii="Times New Roman" w:hAnsi="Times New Roman" w:cs="Times New Roman"/>
          <w:bCs/>
          <w:sz w:val="24"/>
          <w:szCs w:val="24"/>
        </w:rPr>
        <w:t xml:space="preserve">. </w:t>
      </w:r>
      <w:r w:rsidRPr="006C387E">
        <w:rPr>
          <w:rFonts w:ascii="Times New Roman" w:hAnsi="Times New Roman" w:cs="Times New Roman"/>
          <w:bCs/>
          <w:sz w:val="24"/>
          <w:szCs w:val="24"/>
        </w:rPr>
        <w:t>The greater the Third-party funds collected by Islamic banks, the greater their potential to channel financing and generate revenue</w:t>
      </w:r>
      <w:r w:rsidRPr="00BB2513">
        <w:rPr>
          <w:rFonts w:ascii="Times New Roman" w:hAnsi="Times New Roman" w:cs="Times New Roman"/>
          <w:bCs/>
          <w:sz w:val="24"/>
          <w:szCs w:val="24"/>
        </w:rPr>
        <w:t>.</w:t>
      </w:r>
      <w:r>
        <w:rPr>
          <w:rFonts w:ascii="Times New Roman" w:hAnsi="Times New Roman" w:cs="Times New Roman"/>
          <w:bCs/>
          <w:sz w:val="24"/>
          <w:szCs w:val="24"/>
        </w:rPr>
        <w:t xml:space="preserve"> </w:t>
      </w:r>
      <w:r w:rsidRPr="006C387E">
        <w:rPr>
          <w:rFonts w:ascii="Times New Roman" w:hAnsi="Times New Roman" w:cs="Times New Roman"/>
          <w:bCs/>
          <w:sz w:val="24"/>
          <w:szCs w:val="24"/>
        </w:rPr>
        <w:t>Additionally, dividend policy can also impact bank profitability. Dividend policy is a critical aspect of financial management for Islamic banks. An appropriate policy helps banks maintain a balance between distributing profits to shareholders and preserving capital to support future business growth</w:t>
      </w:r>
      <w:r w:rsidR="00363343">
        <w:rPr>
          <w:rFonts w:ascii="Times New Roman" w:hAnsi="Times New Roman" w:cs="Times New Roman"/>
          <w:bCs/>
          <w:sz w:val="24"/>
          <w:szCs w:val="24"/>
        </w:rPr>
        <w:t xml:space="preserve"> </w:t>
      </w:r>
      <w:r w:rsidR="00363343" w:rsidRPr="00461C8E">
        <w:rPr>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{"citationItems":[{"id":"ITEM-1","itemData":{"DOI":"10.36778/jesya.v6i1.1071","ISSN":"2614-3259","abstract":"The purpose of this study was to determine the effect of capital structure and dividend policy on firm value with profitability as a moderating variable in banking companies listed on the Indonesia Stock Exchange. The research design used is quantitative research. The data used is secondary data in the form of time series data. Data analysis used Smart PLS software version 3.0. The research results show that: 1). Dividend policy has no significant effect on firm value; 2). Capital structure has no significant effect on profitability; 3) Capital structure has a significant effect on profitability; 4). Dividend policy has a significant effect on profitability; 5). Profitability has a significant effect on firm value; 6). Profitability does not have a significant role in mediating the effect of capital structure and dividend policy on firm value.","author":[{"dropping-particle":"","family":"Rimawan","given":"M","non-dropping-particle":"","parse-names":false,"suffix":""},{"dropping-particle":"","family":"Muniarty","given":"Puji","non-dropping-particle":"","parse-names":false,"suffix":""},{"dropping-particle":"","family":"Alwi","given":"Alwi","non-dropping-particle":"","parse-names":false,"suffix":""},{"dropping-particle":"","family":"Mutiah","given":"Hanifah","non-dropping-particle":"","parse-names":false,"suffix":""},{"dropping-particle":"","family":"Pratiwi","given":"Aliah","non-dropping-particle":"","parse-names":false,"suffix":""}],"container-title":"Jesya","id":"ITEM-1","issue":"1","issued":{"date-parts":[["2023"]]},"page":"1029-1041","title":"Analisis Pengaruh Kebijakan Deviden dan Struktur Modal terhadap Nilai Perusahaan dengan Profitabilitas sebagai Pemoderasi pada Perusahaan Perbankan yang Listing di BEI","type":"article-journal","volume":"6"},"uris":["http://www.mendeley.com/documents/?uuid=b8afb83c-34a3-4e14-ba6d-c1febdab28ba","http://www.mendeley.com/documents/?uuid=e6a6d0a5-1975-4051-b06a-33f6aa88b195"]}],"mendeley":{"formattedCitation":"(Rimawan et al., 2023)","plainTextFormattedCitation":"(Rimawan et al., 2023)","previouslyFormattedCitation":"(Rimawan et al., 2023)"},"properties":{"noteIndex":0},"schema":"https://github.com/citation-style-language/schema/raw/master/csl-citation.json"}</w:instrText>
      </w:r>
      <w:r w:rsidR="00363343" w:rsidRPr="00461C8E">
        <w:rPr>
          <w:rFonts w:ascii="Times New Roman" w:hAnsi="Times New Roman" w:cs="Times New Roman"/>
          <w:sz w:val="24"/>
        </w:rPr>
        <w:fldChar w:fldCharType="separate"/>
      </w:r>
      <w:r w:rsidR="00363343" w:rsidRPr="00461C8E">
        <w:rPr>
          <w:rFonts w:ascii="Times New Roman" w:hAnsi="Times New Roman" w:cs="Times New Roman"/>
          <w:noProof/>
          <w:sz w:val="24"/>
        </w:rPr>
        <w:t>(Rimawan et al., 2023)</w:t>
      </w:r>
      <w:r w:rsidR="00363343" w:rsidRPr="00461C8E">
        <w:rPr>
          <w:rFonts w:ascii="Times New Roman" w:hAnsi="Times New Roman" w:cs="Times New Roman"/>
          <w:sz w:val="24"/>
        </w:rPr>
        <w:fldChar w:fldCharType="end"/>
      </w:r>
      <w:r w:rsidR="00363343">
        <w:rPr>
          <w:rFonts w:ascii="Times New Roman" w:hAnsi="Times New Roman" w:cs="Times New Roman"/>
          <w:sz w:val="24"/>
        </w:rPr>
        <w:t>.</w:t>
      </w:r>
    </w:p>
    <w:p w14:paraId="51E8EA8D" w14:textId="77777777" w:rsidR="00363343" w:rsidRDefault="00BC2F61" w:rsidP="001C61F9">
      <w:pPr>
        <w:pStyle w:val="ListParagraph"/>
        <w:spacing w:line="240" w:lineRule="auto"/>
        <w:ind w:left="0" w:firstLine="567"/>
        <w:jc w:val="both"/>
        <w:rPr>
          <w:rFonts w:ascii="Times New Roman" w:hAnsi="Times New Roman" w:cs="Times New Roman"/>
          <w:sz w:val="24"/>
        </w:rPr>
      </w:pPr>
      <w:r w:rsidRPr="006C387E">
        <w:rPr>
          <w:rFonts w:ascii="Times New Roman" w:hAnsi="Times New Roman" w:cs="Times New Roman"/>
          <w:bCs/>
          <w:sz w:val="24"/>
          <w:szCs w:val="24"/>
        </w:rPr>
        <w:t>Research by</w:t>
      </w:r>
      <w:r>
        <w:rPr>
          <w:rFonts w:ascii="Times New Roman" w:hAnsi="Times New Roman" w:cs="Times New Roman"/>
          <w:bCs/>
          <w:sz w:val="24"/>
          <w:szCs w:val="24"/>
        </w:rPr>
        <w:t xml:space="preserve"> </w:t>
      </w:r>
      <w:r w:rsidRPr="00461C8E">
        <w:rPr>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{"citationItems":[{"id":"ITEM-1","itemData":{"author":[{"dropping-particle":"","family":"Mei","given":"Vol No","non-dropping-particle":"","parse-names":false,"suffix":""},{"dropping-particle":"","family":"Periode","given":"Profitabilitas","non-dropping-particle":"","parse-names":false,"suffix":""},{"dropping-particle":"","family":"Anatasya","given":"Arifa","non-dropping-particle":"","parse-names":false,"suffix":""},{"dropping-particle":"","family":"Susilowati","given":"Endah","non-dropping-particle":"","parse-names":false,"suffix":""}],"id":"ITEM-1","issue":"1","issued":{"date-parts":[["2021"]]},"page":"271-281","title":"Pengaruh Bank Size , Nim , Dan Car Terhadap","type":"article-journal","volume":"1"},"uris":["http://www.mendeley.com/documents/?uuid=7b20fc66-4b67-489e-81a2-eda3e38a18a2","http://www.mendeley.com/documents/?uuid=73c95334-d97d-44a9-a7db-e418bb2ebd45"]},{"id":"ITEM-2","itemData":{"DOI":"10.24912/jpa.v1i2.4701","abstract":"This research aims to determine the effect of bank size, capital adequacy ratio, loan to deposit ratio, net interest margin and non performing loan toward the bank profitability. This research uses 33 samples of commercial banks that listed on The Indonesia Stock Exchange in the year of 2015-2017 with the multiple regression analysis technique  using Statistical Product and Service Solution for Windows released 21 (SPSS 21.0) and Microsoft Office Excel 2010. The results of T test indicate that bank size, loan to deposit ratio, net interest marginand non performing loan have a significant effect on bank profitability. Meanwhile, capital adequacy ratio has an insignificant effect on bank profitability. The results of F test indicate that all the variables in this research simultaneously have a significant effect on bank profitability.","author":[{"dropping-particle":"","family":"Liana Susanto","given":"Loraine Pertiwi,","non-dropping-particle":"","parse-names":false,"suffix":""}],"container-title":"Jurnal Paradigma Akuntansi","id":"ITEM-2","issue":"2","issued":{"date-parts":[["2019"]]},"page":"282","title":"Faktor Yang Mempengaruhi Profitabilitas Pada Perbankan Yang Terdaftar Di Bei","type":"article-journal","volume":"1"},"uris":["http://www.mendeley.com/documents/?uuid=f8834e5c-2695-4cb6-b13b-a261981f03a4","http://www.mendeley.com/documents/?uuid=3ad00d24-f96e-42a5-8b96-a78e5e4e1f32"]}],"mendeley":{"formattedCitation":"(Liana Susanto, 2019; Mei, Periode, Anatasya, and Susilowati, 2021)","manualFormatting":"Liana Susanto (2019); Mei et al. (2021)","plainTextFormattedCitation":"(Liana Susanto, 2019; Mei, Periode, Anatasya, and Susilowati, 2021)","previouslyFormattedCitation":"(Liana Susanto, 2019; Mei, Periode, Anatasya, and Susilowati, 2021)"},"properties":{"noteIndex":0},"schema":"https://github.com/citation-style-language/schema/raw/master/csl-citation.json"}</w:instrText>
      </w:r>
      <w:r w:rsidRPr="00461C8E">
        <w:rPr>
          <w:rFonts w:ascii="Times New Roman" w:hAnsi="Times New Roman" w:cs="Times New Roman"/>
          <w:sz w:val="24"/>
        </w:rPr>
        <w:fldChar w:fldCharType="separate"/>
      </w:r>
      <w:r w:rsidRPr="00461C8E">
        <w:rPr>
          <w:rFonts w:ascii="Times New Roman" w:hAnsi="Times New Roman" w:cs="Times New Roman"/>
          <w:noProof/>
          <w:sz w:val="24"/>
        </w:rPr>
        <w:t xml:space="preserve">Liana Susanto </w:t>
      </w:r>
      <w:r>
        <w:rPr>
          <w:rFonts w:ascii="Times New Roman" w:hAnsi="Times New Roman" w:cs="Times New Roman"/>
          <w:noProof/>
          <w:sz w:val="24"/>
        </w:rPr>
        <w:t>(</w:t>
      </w:r>
      <w:r w:rsidRPr="00461C8E">
        <w:rPr>
          <w:rFonts w:ascii="Times New Roman" w:hAnsi="Times New Roman" w:cs="Times New Roman"/>
          <w:noProof/>
          <w:sz w:val="24"/>
        </w:rPr>
        <w:t>2019</w:t>
      </w:r>
      <w:r>
        <w:rPr>
          <w:rFonts w:ascii="Times New Roman" w:hAnsi="Times New Roman" w:cs="Times New Roman"/>
          <w:noProof/>
          <w:sz w:val="24"/>
        </w:rPr>
        <w:t>)</w:t>
      </w:r>
      <w:r w:rsidRPr="00461C8E">
        <w:rPr>
          <w:rFonts w:ascii="Times New Roman" w:hAnsi="Times New Roman" w:cs="Times New Roman"/>
          <w:noProof/>
          <w:sz w:val="24"/>
        </w:rPr>
        <w:t xml:space="preserve"> and Mei et al. </w:t>
      </w:r>
      <w:r>
        <w:rPr>
          <w:rFonts w:ascii="Times New Roman" w:hAnsi="Times New Roman" w:cs="Times New Roman"/>
          <w:noProof/>
          <w:sz w:val="24"/>
        </w:rPr>
        <w:t>(</w:t>
      </w:r>
      <w:r w:rsidRPr="00461C8E">
        <w:rPr>
          <w:rFonts w:ascii="Times New Roman" w:hAnsi="Times New Roman" w:cs="Times New Roman"/>
          <w:noProof/>
          <w:sz w:val="24"/>
        </w:rPr>
        <w:t>2021)</w:t>
      </w:r>
      <w:r w:rsidRPr="00461C8E">
        <w:rPr>
          <w:rFonts w:ascii="Times New Roman" w:hAnsi="Times New Roman" w:cs="Times New Roman"/>
          <w:sz w:val="24"/>
        </w:rPr>
        <w:fldChar w:fldCharType="end"/>
      </w:r>
      <w:r>
        <w:rPr>
          <w:rFonts w:ascii="Times New Roman" w:hAnsi="Times New Roman" w:cs="Times New Roman"/>
          <w:sz w:val="24"/>
        </w:rPr>
        <w:t xml:space="preserve"> </w:t>
      </w:r>
      <w:r w:rsidR="00DD5BC2">
        <w:rPr>
          <w:rFonts w:ascii="Times New Roman" w:hAnsi="Times New Roman" w:cs="Times New Roman"/>
          <w:sz w:val="24"/>
        </w:rPr>
        <w:t>Found</w:t>
      </w:r>
      <w:r w:rsidRPr="006C387E">
        <w:rPr>
          <w:rFonts w:ascii="Times New Roman" w:hAnsi="Times New Roman" w:cs="Times New Roman"/>
          <w:sz w:val="24"/>
        </w:rPr>
        <w:t xml:space="preserve"> that larger bank size has a positive effect on profitability. However, studies by</w:t>
      </w:r>
      <w:r w:rsidRPr="00363343">
        <w:rPr>
          <w:rFonts w:ascii="Times New Roman" w:hAnsi="Times New Roman" w:cs="Times New Roman"/>
          <w:sz w:val="24"/>
        </w:rPr>
        <w:t xml:space="preserve"> </w:t>
      </w:r>
      <w:r w:rsidRPr="00363343">
        <w:rPr>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{"citationItems":[{"id":"ITEM-1","itemData":{"abstract":"The research aims to see earning asset quality, financial leverage, and company size influence the financial performance of Islamic Commercial Banks from 2016 and 2020. A descriptive quantitative statistical technique is used in this type of research. With Eviews software version 10, the data was used as panel data with analysis capabilities in the form of panel data regression. The study employed a purposive sampling technique to select a sample of 10 Islamic commercial banks registered with the OJK. Purposive sampling was performed since the researchers have specific criteria. The research found that concurrently had a substantial impact on Islamic commercial banks' financial performance. However, the partial test results reveal that the quality of earning assets and company size have such a considerable negative impact on Islamic commercial banks' financial performance, but financial leverage has no impact on financial performance.","author":[{"dropping-particle":"","family":"Maula","given":"I","non-dropping-particle":"","parse-names":false,"suffix":""},{"dropping-particle":"","family":"Jaya","given":"T J","non-dropping-particle":"","parse-names":false,"suffix":""}],"container-title":"Jurnal Masharif Al-Syariah: Jurnal Ekonomi dan Perbankan Syariah","id":"ITEM-1","issue":"2","issued":{"date-parts":[["2022"]]},"page":"763-775","title":"Effect of Earning Asset Quality, Financial Leverage, and Company Size on Financial Performance of Sharia Commercial Banks","type":"article-journal","volume":"7"},"uris":["http://www.mendeley.com/documents/?uuid=9bd4b4b4-5070-45e5-8e91-6ac012686deb","http://www.mendeley.com/documents/?uuid=2b4f3acc-64af-4ad6-80d3-747486cf5423"]},{"id":"ITEM-2","itemData":{"author":[{"dropping-particle":"","family":"Najhah","given":"Dzarrotun","non-dropping-particle":"","parse-names":false,"suffix":""},{"dropping-particle":"","family":"Gunistiyo","given":"","non-dropping-particle":"","parse-names":false,"suffix":""},{"dropping-particle":"","family":"Amin","given":"Mohammad Arridho Nur Amin","non-dropping-particle":"","parse-names":false,"suffix":""}],"id":"ITEM-2","issue":"1","issued":{"date-parts":[["2023"]]},"page":"21-38","title":"Pengaruh Non Performing Loan , BOPO dan Firm Size Terhadap Profitabilitas","type":"article-journal","volume":"4"},"uris":["http://www.mendeley.com/documents/?uuid=5be41769-75ed-4b94-a28b-27d719eb643a","http://www.mendeley.com/documents/?uuid=74f6d7b2-47d4-4faa-a0b9-22616dbd017a"]}],"mendeley":{"formattedCitation":"(Maula and Jaya, 2022; Najhah, Gunistiyo, and Amin, 2023)","manualFormatting":"Maula &amp; Jaya (2022); Najhah et al. (2023)","plainTextFormattedCitation":"(Maula and Jaya, 2022; Najhah, Gunistiyo, and Amin, 2023)","previouslyFormattedCitation":"(Maula and Jaya, 2022; Najhah, Gunistiyo, and Amin, 2023)"},"properties":{"noteIndex":0},"schema":"https://github.com/citation-style-language/schema/raw/master/csl-citation.json"}</w:instrText>
      </w:r>
      <w:r w:rsidRPr="00363343">
        <w:rPr>
          <w:rFonts w:ascii="Times New Roman" w:hAnsi="Times New Roman" w:cs="Times New Roman"/>
          <w:sz w:val="24"/>
        </w:rPr>
        <w:fldChar w:fldCharType="separate"/>
      </w:r>
      <w:r w:rsidRPr="00363343">
        <w:rPr>
          <w:rFonts w:ascii="Times New Roman" w:hAnsi="Times New Roman" w:cs="Times New Roman"/>
          <w:noProof/>
          <w:sz w:val="24"/>
        </w:rPr>
        <w:t xml:space="preserve">Maula and Jaya </w:t>
      </w:r>
      <w:r>
        <w:rPr>
          <w:rFonts w:ascii="Times New Roman" w:hAnsi="Times New Roman" w:cs="Times New Roman"/>
          <w:noProof/>
          <w:sz w:val="24"/>
        </w:rPr>
        <w:t>(</w:t>
      </w:r>
      <w:r w:rsidRPr="00363343">
        <w:rPr>
          <w:rFonts w:ascii="Times New Roman" w:hAnsi="Times New Roman" w:cs="Times New Roman"/>
          <w:noProof/>
          <w:sz w:val="24"/>
        </w:rPr>
        <w:t>2022</w:t>
      </w:r>
      <w:r>
        <w:rPr>
          <w:rFonts w:ascii="Times New Roman" w:hAnsi="Times New Roman" w:cs="Times New Roman"/>
          <w:noProof/>
          <w:sz w:val="24"/>
        </w:rPr>
        <w:t>)</w:t>
      </w:r>
      <w:r w:rsidRPr="00363343">
        <w:rPr>
          <w:rFonts w:ascii="Times New Roman" w:hAnsi="Times New Roman" w:cs="Times New Roman"/>
          <w:noProof/>
          <w:sz w:val="24"/>
        </w:rPr>
        <w:t xml:space="preserve"> and Najhah et al. </w:t>
      </w:r>
      <w:r>
        <w:rPr>
          <w:rFonts w:ascii="Times New Roman" w:hAnsi="Times New Roman" w:cs="Times New Roman"/>
          <w:noProof/>
          <w:sz w:val="24"/>
        </w:rPr>
        <w:t>(</w:t>
      </w:r>
      <w:r w:rsidRPr="00363343">
        <w:rPr>
          <w:rFonts w:ascii="Times New Roman" w:hAnsi="Times New Roman" w:cs="Times New Roman"/>
          <w:noProof/>
          <w:sz w:val="24"/>
        </w:rPr>
        <w:t>2023)</w:t>
      </w:r>
      <w:r w:rsidRPr="00363343">
        <w:rPr>
          <w:rFonts w:ascii="Times New Roman" w:hAnsi="Times New Roman" w:cs="Times New Roman"/>
          <w:sz w:val="24"/>
        </w:rPr>
        <w:fldChar w:fldCharType="end"/>
      </w:r>
      <w:r>
        <w:rPr>
          <w:rFonts w:ascii="Times New Roman" w:hAnsi="Times New Roman" w:cs="Times New Roman"/>
          <w:sz w:val="24"/>
        </w:rPr>
        <w:t xml:space="preserve"> </w:t>
      </w:r>
      <w:r w:rsidR="00DD5BC2">
        <w:rPr>
          <w:rFonts w:ascii="Times New Roman" w:hAnsi="Times New Roman" w:cs="Times New Roman"/>
          <w:sz w:val="24"/>
        </w:rPr>
        <w:t>Suggests</w:t>
      </w:r>
      <w:r w:rsidRPr="006C387E">
        <w:rPr>
          <w:rFonts w:ascii="Times New Roman" w:hAnsi="Times New Roman" w:cs="Times New Roman"/>
          <w:sz w:val="24"/>
        </w:rPr>
        <w:t xml:space="preserve"> that </w:t>
      </w:r>
      <w:r w:rsidR="00DD5BC2">
        <w:rPr>
          <w:rFonts w:ascii="Times New Roman" w:hAnsi="Times New Roman" w:cs="Times New Roman"/>
          <w:sz w:val="24"/>
        </w:rPr>
        <w:t>huge</w:t>
      </w:r>
      <w:r w:rsidRPr="006C387E">
        <w:rPr>
          <w:rFonts w:ascii="Times New Roman" w:hAnsi="Times New Roman" w:cs="Times New Roman"/>
          <w:sz w:val="24"/>
        </w:rPr>
        <w:t xml:space="preserve"> bank sizes may reduce profitability due to agency problems and more complex bureaucracy.</w:t>
      </w:r>
      <w:r>
        <w:rPr>
          <w:rFonts w:ascii="Times New Roman" w:hAnsi="Times New Roman" w:cs="Times New Roman"/>
          <w:sz w:val="24"/>
        </w:rPr>
        <w:t xml:space="preserve"> </w:t>
      </w:r>
      <w:r w:rsidRPr="00461C8E">
        <w:rPr>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{"citationItems":[{"id":"ITEM-1","itemData":{"DOI":"10.36406/jam.v17i02.328","ISSN":"1693-8364","abstract":"Penelitian ini bertujuan untuk meneliti apakah terdapat pengaruh dari mekanisme Capital Adequacy Ratio, Dana Pihak Ketiga, Non Performing Financing dan Pembiayaan Murabahah terhadap profitabilitas pada Bank Umum Syariah yang terdaftar di Otoritas Jasa Keuangan pada peiode 2012-2016 dengan jumlah sampel sebanyak 55 bank Syariah.Teknik pengumpulan data menggunakan metode dokumentasi pada situs resmi perbankan syariah. Hasil penelitian menunjukan capital adequacy ratio dan dana pihak ketiga berpengaruh terhadap profitabilitas, namun  non performing financing dan pembiayaan murabahah tidak berpengaruh terhadap profitabilitas. Secara simultan  capital adequacy ratio, dana pihak ketiga, non performing financing dan pembiayaan murabahah  berpengaruh terhadap profitabilitas.","author":[{"dropping-particle":"","family":"Ardheta","given":"Preztika Ayu","non-dropping-particle":"","parse-names":false,"suffix":""},{"dropping-particle":"","family":"Sina","given":"Helda Rahmi","non-dropping-particle":"","parse-names":false,"suffix":""}],"container-title":"Jurnal Akuntansi dan Manajemen","id":"ITEM-1","issue":"02","issued":{"date-parts":[["2020"]]},"page":"32-38","title":"Pengaruh Capital Adequacy Ratio, Dana Pihak Ketiga, Non Performing Financing dan Pembiayaan Murabahah Terhadap Profitabilitas","type":"article-journal","volume":"17"},"uris":["http://www.mendeley.com/documents/?uuid=1434e68e-9d73-4b60-880c-8d0904572d43","http://www.mendeley.com/documents/?uuid=50f5b9f4-76fa-4db0-aed7-ba0ef832ac11"]}],"mendeley":{"formattedCitation":"(Ardheta and Sina, 2020)","manualFormatting":"Ardheta &amp; Sina (2020)","plainTextFormattedCitation":"(Ardheta and Sina, 2020)","previouslyFormattedCitation":"(Ardheta and Sina, 2020)"},"properties":{"noteIndex":0},"schema":"https://github.com/citation-style-language/schema/raw/master/csl-citation.json"}</w:instrText>
      </w:r>
      <w:r w:rsidRPr="00461C8E">
        <w:rPr>
          <w:rFonts w:ascii="Times New Roman" w:hAnsi="Times New Roman" w:cs="Times New Roman"/>
          <w:sz w:val="24"/>
        </w:rPr>
        <w:fldChar w:fldCharType="separate"/>
      </w:r>
      <w:r w:rsidRPr="00461C8E">
        <w:rPr>
          <w:rFonts w:ascii="Times New Roman" w:hAnsi="Times New Roman" w:cs="Times New Roman"/>
          <w:noProof/>
          <w:sz w:val="24"/>
        </w:rPr>
        <w:t xml:space="preserve">Ardheta and Sina </w:t>
      </w:r>
      <w:r>
        <w:rPr>
          <w:rFonts w:ascii="Times New Roman" w:hAnsi="Times New Roman" w:cs="Times New Roman"/>
          <w:noProof/>
          <w:sz w:val="24"/>
        </w:rPr>
        <w:t>(</w:t>
      </w:r>
      <w:r w:rsidRPr="00461C8E">
        <w:rPr>
          <w:rFonts w:ascii="Times New Roman" w:hAnsi="Times New Roman" w:cs="Times New Roman"/>
          <w:noProof/>
          <w:sz w:val="24"/>
        </w:rPr>
        <w:t>2020)</w:t>
      </w:r>
      <w:r w:rsidRPr="00461C8E">
        <w:rPr>
          <w:rFonts w:ascii="Times New Roman" w:hAnsi="Times New Roman" w:cs="Times New Roman"/>
          <w:sz w:val="24"/>
        </w:rPr>
        <w:fldChar w:fldCharType="end"/>
      </w:r>
      <w:r>
        <w:rPr>
          <w:rFonts w:ascii="Times New Roman" w:hAnsi="Times New Roman" w:cs="Times New Roman"/>
          <w:sz w:val="24"/>
        </w:rPr>
        <w:t xml:space="preserve"> </w:t>
      </w:r>
      <w:r w:rsidR="00DD5BC2">
        <w:rPr>
          <w:rFonts w:ascii="Times New Roman" w:hAnsi="Times New Roman" w:cs="Times New Roman"/>
          <w:sz w:val="24"/>
        </w:rPr>
        <w:t>Found</w:t>
      </w:r>
      <w:r w:rsidRPr="006C387E">
        <w:rPr>
          <w:rFonts w:ascii="Times New Roman" w:hAnsi="Times New Roman" w:cs="Times New Roman"/>
          <w:sz w:val="24"/>
        </w:rPr>
        <w:t xml:space="preserve"> that third-party funds (TPF) have a positive effect on profitability, while</w:t>
      </w:r>
      <w:r>
        <w:rPr>
          <w:rFonts w:ascii="Times New Roman" w:hAnsi="Times New Roman" w:cs="Times New Roman"/>
          <w:sz w:val="24"/>
        </w:rPr>
        <w:t xml:space="preserve"> </w:t>
      </w:r>
      <w:r w:rsidRPr="00461C8E">
        <w:rPr>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{"citationItems":[{"id":"ITEM-1","itemData":{"abstract":"This research was conducted by Devita Yuniar with the title “Efect of Third Party Funds (DPK), Capital Adequacy Ratio (CAR), Non Performing Finance (NPF), and Operating Expenses to Operating Income (BOPO) on the Profitability of Sharia General Bank” under the guidance of Isna Yuningsih. The aim of study is to give an emptive line of effect on DPK, CAR, NPF, and BOPO on profitability of Sharia General Bank. It uses the kind of quantitative research. The method of analysis used is linier regression analysis. Research indicates variables DPK do not significantly affect the variables profitability, variables CAR do not significantly affect the variables profitability, variables NPF will affect the profitability variables, and variables BOPO will affect the profitability variables.","author":[{"dropping-particle":"","family":"Yuniar","given":"Devita","non-dropping-particle":"","parse-names":false,"suffix":""},{"dropping-particle":"","family":"Yuningsih","given":"Isna","non-dropping-particle":"","parse-names":false,"suffix":""}],"container-title":"JESM: Jurnal Ekonomi Syariah Mulawarman","id":"ITEM-1","issue":"1","issued":{"date-parts":[["2023"]]},"page":"27-36","title":"Pengaruh Dana Pihak Ketiga (DPK), Capital Adequacy Ratio (CAR), Non-Performing Financing (NPF) dan Biaya Operasional terhadap Pendapatan Operasional (BOPO) terhadap Profitabilitas pada Bank Umum Syariah","type":"article-journal","volume":"2"},"uris":["http://www.mendeley.com/documents/?uuid=a81a2783-bee4-42c6-994d-3f1df8897767","http://www.mendeley.com/documents/?uuid=4bf30c55-2f3c-4eff-b11a-cc09ce738eda"]}],"mendeley":{"formattedCitation":"(Yuniar and Yuningsih, 2023)","manualFormatting":"Yuniar &amp; Yuningsih (2023)","plainTextFormattedCitation":"(Yuniar and Yuningsih, 2023)","previouslyFormattedCitation":"(Yuniar and Yuningsih, 2023)"},"properties":{"noteIndex":0},"schema":"https://github.com/citation-style-language/schema/raw/master/csl-citation.json"}</w:instrText>
      </w:r>
      <w:r w:rsidRPr="00461C8E">
        <w:rPr>
          <w:rFonts w:ascii="Times New Roman" w:hAnsi="Times New Roman" w:cs="Times New Roman"/>
          <w:sz w:val="24"/>
        </w:rPr>
        <w:fldChar w:fldCharType="separate"/>
      </w:r>
      <w:r w:rsidRPr="00461C8E">
        <w:rPr>
          <w:rFonts w:ascii="Times New Roman" w:hAnsi="Times New Roman" w:cs="Times New Roman"/>
          <w:noProof/>
          <w:sz w:val="24"/>
        </w:rPr>
        <w:t xml:space="preserve">Yuniar and Yuningsih </w:t>
      </w:r>
      <w:r>
        <w:rPr>
          <w:rFonts w:ascii="Times New Roman" w:hAnsi="Times New Roman" w:cs="Times New Roman"/>
          <w:noProof/>
          <w:sz w:val="24"/>
        </w:rPr>
        <w:t>(</w:t>
      </w:r>
      <w:r w:rsidRPr="00461C8E">
        <w:rPr>
          <w:rFonts w:ascii="Times New Roman" w:hAnsi="Times New Roman" w:cs="Times New Roman"/>
          <w:noProof/>
          <w:sz w:val="24"/>
        </w:rPr>
        <w:t>2023)</w:t>
      </w:r>
      <w:r w:rsidRPr="00461C8E">
        <w:rPr>
          <w:rFonts w:ascii="Times New Roman" w:hAnsi="Times New Roman" w:cs="Times New Roman"/>
          <w:sz w:val="24"/>
        </w:rPr>
        <w:fldChar w:fldCharType="end"/>
      </w:r>
      <w:r>
        <w:rPr>
          <w:rFonts w:ascii="Times New Roman" w:hAnsi="Times New Roman" w:cs="Times New Roman"/>
          <w:sz w:val="24"/>
        </w:rPr>
        <w:t xml:space="preserve"> </w:t>
      </w:r>
      <w:r w:rsidR="00DD5BC2">
        <w:rPr>
          <w:rFonts w:ascii="Times New Roman" w:hAnsi="Times New Roman" w:cs="Times New Roman"/>
          <w:sz w:val="24"/>
        </w:rPr>
        <w:t>Concluded</w:t>
      </w:r>
      <w:r w:rsidRPr="006C387E">
        <w:rPr>
          <w:rFonts w:ascii="Times New Roman" w:hAnsi="Times New Roman" w:cs="Times New Roman"/>
          <w:sz w:val="24"/>
        </w:rPr>
        <w:t xml:space="preserve"> that TPF does not impact profitability. Other studies by</w:t>
      </w:r>
      <w:r>
        <w:rPr>
          <w:rFonts w:ascii="Times New Roman" w:hAnsi="Times New Roman" w:cs="Times New Roman"/>
          <w:sz w:val="24"/>
        </w:rPr>
        <w:t xml:space="preserve"> </w:t>
      </w:r>
      <w:r w:rsidRPr="00461C8E">
        <w:rPr>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{"citationItems":[{"id":"ITEM-1","itemData":{"author":[{"dropping-particle":"","family":"Modal","given":"Pengaruh Struktur","non-dropping-particle":"","parse-names":false,"suffix":""},{"dropping-particle":"","family":"Dan","given":"Kebijakan Dividen","non-dropping-particle":"","parse-names":false,"suffix":""},{"dropping-particle":"","family":"Candradewi","given":"Made Reina","non-dropping-particle":"","parse-names":false,"suffix":""}],"id":"ITEM-1","issue":"8","issued":{"date-parts":[["2019"]]},"page":"4871-4898","title":"LIKUIDITAS TERHADAP PROFITABILITAS PERUSAHAAN PERBANKAN DI BURSA EFEK INDONESIA Fakultas Ekonomi dan Bisnis Universitas Udayana ( Unud ), Bali , Indonesia ABSTRAK Profitabilitas merupakan salah satu tolok ukur keberhasilan suatu perusahaan . Profitabilita","type":"article-journal","volume":"8"},"uris":["http://www.mendeley.com/documents/?uuid=fbe42543-6799-4b45-ac07-b77408b3acb7","http://www.mendeley.com/documents/?uuid=e0fd9c86-8ff2-4ae1-9f2b-266f226b8b35"]}],"mendeley":{"formattedCitation":"(Modal, Dan, and Candradewi, 2019)","manualFormatting":"Modal et al. (2019)","plainTextFormattedCitation":"(Modal, Dan, and Candradewi, 2019)","previouslyFormattedCitation":"(Modal, Dan, and Candradewi, 2019)"},"properties":{"noteIndex":0},"schema":"https://github.com/citation-style-language/schema/raw/master/csl-citation.json"}</w:instrText>
      </w:r>
      <w:r w:rsidRPr="00461C8E">
        <w:rPr>
          <w:rFonts w:ascii="Times New Roman" w:hAnsi="Times New Roman" w:cs="Times New Roman"/>
          <w:sz w:val="24"/>
        </w:rPr>
        <w:fldChar w:fldCharType="separate"/>
      </w:r>
      <w:r w:rsidRPr="00461C8E">
        <w:rPr>
          <w:rFonts w:ascii="Times New Roman" w:hAnsi="Times New Roman" w:cs="Times New Roman"/>
          <w:noProof/>
          <w:sz w:val="24"/>
        </w:rPr>
        <w:t xml:space="preserve">Modal et al. </w:t>
      </w:r>
      <w:r>
        <w:rPr>
          <w:rFonts w:ascii="Times New Roman" w:hAnsi="Times New Roman" w:cs="Times New Roman"/>
          <w:noProof/>
          <w:sz w:val="24"/>
        </w:rPr>
        <w:t>(</w:t>
      </w:r>
      <w:r w:rsidRPr="00461C8E">
        <w:rPr>
          <w:rFonts w:ascii="Times New Roman" w:hAnsi="Times New Roman" w:cs="Times New Roman"/>
          <w:noProof/>
          <w:sz w:val="24"/>
        </w:rPr>
        <w:t>2019)</w:t>
      </w:r>
      <w:r w:rsidRPr="00461C8E">
        <w:rPr>
          <w:rFonts w:ascii="Times New Roman" w:hAnsi="Times New Roman" w:cs="Times New Roman"/>
          <w:sz w:val="24"/>
        </w:rPr>
        <w:fldChar w:fldCharType="end"/>
      </w:r>
      <w:r w:rsidRPr="00461C8E">
        <w:rPr>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author":[{"dropping-particle":"","family":"Muzakki","given":"Naufal","non-dropping-particle":"","parse-names":false,"suffix":""},{"dropping-particle":"","family":"Ulfah","given":"Yana","non-dropping-particle":"","parse-names":false,"suffix":""}],"id":"ITEM-1","issue":"4","issued":{"date-parts":[["2023"]]},"page":"924-931","title":"Pengaruh profitabilitas terhadap kebijakan dividen dengan likuiditas sebagai variabel moderasi","type":"article-journal","volume":"4"},"uris":["http://www.mendeley.com/documents/?uuid=811fca82-c36a-4978-8fbd-c372828d8605","http://www.mendeley.com/documents/?uuid=4a6d5495-28ae-4e43-8cd0-0588174e5fc1"]}],"mendeley":{"formattedCitation":"(Muzakki and Ulfah, 2023)","manualFormatting":" Muzakki &amp; Ulfah (2023)","plainTextFormattedCitation":"(Muzakki and Ulfah, 2023)","previouslyFormattedCitation":"(Muzakki and Ulfah, 2023)"},"properties":{"noteIndex":0},"schema":"https://github.com/citation-style-language/schema/raw/master/csl-citation.json"}</w:instrText>
      </w:r>
      <w:r w:rsidRPr="00461C8E">
        <w:rPr>
          <w:rFonts w:ascii="Times New Roman" w:hAnsi="Times New Roman" w:cs="Times New Roman"/>
          <w:sz w:val="24"/>
        </w:rPr>
        <w:fldChar w:fldCharType="separate"/>
      </w:r>
      <w:r>
        <w:rPr>
          <w:rFonts w:ascii="Times New Roman" w:hAnsi="Times New Roman" w:cs="Times New Roman"/>
          <w:noProof/>
          <w:sz w:val="24"/>
        </w:rPr>
        <w:t xml:space="preserve"> and </w:t>
      </w:r>
      <w:r w:rsidRPr="00461C8E">
        <w:rPr>
          <w:rFonts w:ascii="Times New Roman" w:hAnsi="Times New Roman" w:cs="Times New Roman"/>
          <w:noProof/>
          <w:sz w:val="24"/>
        </w:rPr>
        <w:t xml:space="preserve">Muzakki &amp; Ulfah </w:t>
      </w:r>
      <w:r>
        <w:rPr>
          <w:rFonts w:ascii="Times New Roman" w:hAnsi="Times New Roman" w:cs="Times New Roman"/>
          <w:noProof/>
          <w:sz w:val="24"/>
        </w:rPr>
        <w:t>(</w:t>
      </w:r>
      <w:r w:rsidRPr="00461C8E">
        <w:rPr>
          <w:rFonts w:ascii="Times New Roman" w:hAnsi="Times New Roman" w:cs="Times New Roman"/>
          <w:noProof/>
          <w:sz w:val="24"/>
        </w:rPr>
        <w:t>2023)</w:t>
      </w:r>
      <w:r w:rsidRPr="00461C8E">
        <w:rPr>
          <w:rFonts w:ascii="Times New Roman" w:hAnsi="Times New Roman" w:cs="Times New Roman"/>
          <w:sz w:val="24"/>
        </w:rPr>
        <w:fldChar w:fldCharType="end"/>
      </w:r>
      <w:r>
        <w:rPr>
          <w:rFonts w:ascii="Times New Roman" w:hAnsi="Times New Roman" w:cs="Times New Roman"/>
          <w:sz w:val="24"/>
        </w:rPr>
        <w:t xml:space="preserve"> </w:t>
      </w:r>
      <w:r w:rsidR="00DD5BC2">
        <w:rPr>
          <w:rFonts w:ascii="Times New Roman" w:hAnsi="Times New Roman" w:cs="Times New Roman"/>
          <w:sz w:val="24"/>
        </w:rPr>
        <w:t>Discovered</w:t>
      </w:r>
      <w:r w:rsidRPr="006C387E">
        <w:rPr>
          <w:rFonts w:ascii="Times New Roman" w:hAnsi="Times New Roman" w:cs="Times New Roman"/>
          <w:sz w:val="24"/>
        </w:rPr>
        <w:t xml:space="preserve"> that higher dividends can enhance investor confidence and access to external capital, which ultimately boosts profitability. However,</w:t>
      </w:r>
      <w:r>
        <w:rPr>
          <w:rFonts w:ascii="Times New Roman" w:hAnsi="Times New Roman" w:cs="Times New Roman"/>
          <w:sz w:val="24"/>
        </w:rPr>
        <w:t xml:space="preserve"> </w:t>
      </w:r>
      <w:r w:rsidR="00E91D3F" w:rsidRPr="00461C8E">
        <w:rPr>
          <w:rStyle w:val="FootnoteReference"/>
          <w:rFonts w:ascii="Times New Roman" w:hAnsi="Times New Roman" w:cs="Times New Roman"/>
          <w:sz w:val="24"/>
        </w:rPr>
        <w:fldChar w:fldCharType="begin" w:fldLock="1"/>
      </w:r>
      <w:r w:rsidR="0014663C">
        <w:rPr>
          <w:rFonts w:ascii="Times New Roman" w:hAnsi="Times New Roman" w:cs="Times New Roman"/>
          <w:sz w:val="24"/>
        </w:rPr>
        <w:instrText>ADDIN CSL_CITATION {"citationItems":[{"id":"ITEM-1","itemData":{"abstract":"Abstract This research aims to analyze the effect of dividend payout ratio, leverage andsales growth on the future pfofitability in companies listed on the Indonesia StockExchange 2011-2016. This research is intended for potential investors to be usedas a consideration in making investment decisions. This research used purposivesampling with total sample 2011-2016 equal to 492 samples of firm at IndonesiaStock Exchange. The analysis method used is multiple linier regression analysis.The results showed that leverage and sales growth positively related to futureprofitability, meanwhile dividend payout ratio negatively related to futureprofitability. Keywords: future profitability, dividend payout ratio, leverage, sales growth","author":[{"dropping-particle":"","family":"Henny","given":"Lintang Anugrah","non-dropping-particle":"","parse-names":false,"suffix":""}],"container-title":"Jurnal Akuntansi AKUNESA","id":"ITEM-1","issue":"3","issued":{"date-parts":[["2017"]]},"page":"43-68","title":"Pengaruh Kebijakan Dividen, Leverage dan Pertumbuhan Penjualan Terhadap Profitabilitas Pada Masa yang Akan Datang","type":"article-journal","volume":"5"},"uris":["http://www.mendeley.com/documents/?uuid=c3343a79-1ea3-4b9d-bde9-aa4781e5044e","http://www.mendeley.com/documents/?uuid=bc7396ac-b3aa-4f4c-81e8-2532fe292417"]}],"mendeley":{"formattedCitation":"(Henny, 2017)","manualFormatting":"Henny (2017)","plainTextFormattedCitation":"(Henny, 2017)","previouslyFormattedCitation":"(Henny, 2017)"},"properties":{"noteIndex":0},"schema":"https://github.com/citation-style-language/schema/raw/master/csl-citation.json"}</w:instrText>
      </w:r>
      <w:r w:rsidR="00E91D3F" w:rsidRPr="00461C8E">
        <w:rPr>
          <w:rStyle w:val="FootnoteReference"/>
          <w:rFonts w:ascii="Times New Roman" w:hAnsi="Times New Roman" w:cs="Times New Roman"/>
          <w:sz w:val="24"/>
        </w:rPr>
        <w:fldChar w:fldCharType="separate"/>
      </w:r>
      <w:r w:rsidR="00E91D3F" w:rsidRPr="00461C8E">
        <w:rPr>
          <w:rFonts w:ascii="Times New Roman" w:hAnsi="Times New Roman" w:cs="Times New Roman"/>
          <w:noProof/>
          <w:sz w:val="24"/>
        </w:rPr>
        <w:t xml:space="preserve">Henny </w:t>
      </w:r>
      <w:r w:rsidR="00E91D3F">
        <w:rPr>
          <w:rFonts w:ascii="Times New Roman" w:hAnsi="Times New Roman" w:cs="Times New Roman"/>
          <w:noProof/>
          <w:sz w:val="24"/>
        </w:rPr>
        <w:t>(</w:t>
      </w:r>
      <w:r w:rsidR="00E91D3F" w:rsidRPr="00461C8E">
        <w:rPr>
          <w:rFonts w:ascii="Times New Roman" w:hAnsi="Times New Roman" w:cs="Times New Roman"/>
          <w:noProof/>
          <w:sz w:val="24"/>
        </w:rPr>
        <w:t>2017)</w:t>
      </w:r>
      <w:r w:rsidR="00E91D3F" w:rsidRPr="00461C8E">
        <w:rPr>
          <w:rStyle w:val="FootnoteReference"/>
          <w:rFonts w:ascii="Times New Roman" w:hAnsi="Times New Roman" w:cs="Times New Roman"/>
          <w:sz w:val="24"/>
        </w:rPr>
        <w:fldChar w:fldCharType="end"/>
      </w:r>
      <w:r w:rsidR="00E91D3F">
        <w:rPr>
          <w:rFonts w:ascii="Times New Roman" w:hAnsi="Times New Roman" w:cs="Times New Roman"/>
          <w:sz w:val="24"/>
        </w:rPr>
        <w:t xml:space="preserve"> </w:t>
      </w:r>
      <w:r w:rsidR="00DD5BC2">
        <w:rPr>
          <w:rFonts w:ascii="Times New Roman" w:hAnsi="Times New Roman" w:cs="Times New Roman"/>
          <w:sz w:val="24"/>
        </w:rPr>
        <w:t>Found</w:t>
      </w:r>
      <w:r w:rsidRPr="006C387E">
        <w:rPr>
          <w:rFonts w:ascii="Times New Roman" w:hAnsi="Times New Roman" w:cs="Times New Roman"/>
          <w:sz w:val="24"/>
        </w:rPr>
        <w:t xml:space="preserve"> that dividend policy does not affect profitability</w:t>
      </w:r>
      <w:r w:rsidR="00E91D3F" w:rsidRPr="00E91D3F">
        <w:rPr>
          <w:rFonts w:ascii="Times New Roman" w:hAnsi="Times New Roman" w:cs="Times New Roman"/>
          <w:sz w:val="24"/>
        </w:rPr>
        <w:t>.</w:t>
      </w:r>
    </w:p>
    <w:p w14:paraId="6F7AFC89" w14:textId="77777777" w:rsidR="001C61F9" w:rsidRPr="00E91D3F" w:rsidRDefault="00BC2F61" w:rsidP="00E91D3F">
      <w:pPr>
        <w:pStyle w:val="ListParagraph"/>
        <w:spacing w:line="240" w:lineRule="auto"/>
        <w:ind w:left="0" w:firstLine="567"/>
        <w:jc w:val="both"/>
        <w:rPr>
          <w:rFonts w:ascii="Times New Roman" w:hAnsi="Times New Roman" w:cs="Times New Roman"/>
          <w:bCs/>
          <w:sz w:val="24"/>
          <w:szCs w:val="24"/>
        </w:rPr>
      </w:pPr>
      <w:r w:rsidRPr="006C387E">
        <w:rPr>
          <w:rFonts w:ascii="Times New Roman" w:hAnsi="Times New Roman" w:cs="Times New Roman"/>
          <w:bCs/>
          <w:sz w:val="24"/>
          <w:szCs w:val="24"/>
        </w:rPr>
        <w:t xml:space="preserve">This study aims to analyze the impact of bank size, </w:t>
      </w:r>
      <w:r w:rsidR="0039393A">
        <w:rPr>
          <w:rFonts w:ascii="Times New Roman" w:hAnsi="Times New Roman" w:cs="Times New Roman"/>
          <w:bCs/>
          <w:sz w:val="24"/>
          <w:szCs w:val="24"/>
          <w:lang w:val="en-US"/>
        </w:rPr>
        <w:t xml:space="preserve"> </w:t>
      </w:r>
      <w:r w:rsidRPr="006C387E">
        <w:rPr>
          <w:rFonts w:ascii="Times New Roman" w:hAnsi="Times New Roman" w:cs="Times New Roman"/>
          <w:bCs/>
          <w:sz w:val="24"/>
          <w:szCs w:val="24"/>
        </w:rPr>
        <w:t xml:space="preserve">third-party funds (TPF), and dividend policy on the profitability of Islamic banks in Asia, as well as to explain the simultaneous relationship between these three factors within the rapidly growing Islamic banking industry. By integrating these three key factors, this </w:t>
      </w:r>
      <w:r w:rsidRPr="006C387E">
        <w:rPr>
          <w:rFonts w:ascii="Times New Roman" w:hAnsi="Times New Roman" w:cs="Times New Roman"/>
          <w:bCs/>
          <w:sz w:val="24"/>
          <w:szCs w:val="24"/>
        </w:rPr>
        <w:lastRenderedPageBreak/>
        <w:t>research offers novelty in comprehensively analyzing the profitability of Islamic banks, bridging existing gaps in research. The findings of this study are expected to assist Islamic banks in developing more effective strategies to improve financial performance, provide better services to customers, and serve as a guide for regulators and policymakers in creating regulations that support the sustainable growth of the Islamic banking industry in Asia</w:t>
      </w:r>
      <w:r w:rsidR="00E91D3F" w:rsidRPr="00E91D3F">
        <w:rPr>
          <w:rFonts w:ascii="Times New Roman" w:hAnsi="Times New Roman" w:cs="Times New Roman"/>
          <w:bCs/>
          <w:sz w:val="24"/>
          <w:szCs w:val="24"/>
        </w:rPr>
        <w:t>.</w:t>
      </w:r>
    </w:p>
    <w:p w14:paraId="5C370163" w14:textId="77777777" w:rsidR="00636C67" w:rsidRPr="00E43FDB" w:rsidRDefault="00BC2F61" w:rsidP="001C61F9">
      <w:pPr>
        <w:jc w:val="both"/>
        <w:rPr>
          <w:b/>
          <w:sz w:val="28"/>
          <w:szCs w:val="28"/>
        </w:rPr>
      </w:pPr>
      <w:r w:rsidRPr="00E43FDB">
        <w:rPr>
          <w:b/>
          <w:sz w:val="28"/>
          <w:szCs w:val="28"/>
        </w:rPr>
        <w:t>Met</w:t>
      </w:r>
      <w:r w:rsidR="001C61F9">
        <w:rPr>
          <w:b/>
          <w:sz w:val="28"/>
          <w:szCs w:val="28"/>
        </w:rPr>
        <w:t>hodology</w:t>
      </w:r>
      <w:r w:rsidRPr="00E43FDB">
        <w:rPr>
          <w:b/>
          <w:sz w:val="28"/>
          <w:szCs w:val="28"/>
        </w:rPr>
        <w:t xml:space="preserve"> </w:t>
      </w:r>
    </w:p>
    <w:p w14:paraId="453D2947" w14:textId="77777777" w:rsidR="006C387E" w:rsidRPr="006C387E" w:rsidRDefault="00BC2F61" w:rsidP="006C387E">
      <w:pPr>
        <w:jc w:val="both"/>
        <w:rPr>
          <w:b/>
          <w:bCs/>
          <w:color w:val="000000"/>
          <w:sz w:val="24"/>
          <w:szCs w:val="24"/>
          <w:lang w:val="en-ID"/>
        </w:rPr>
      </w:pPr>
      <w:r w:rsidRPr="006C387E">
        <w:rPr>
          <w:b/>
          <w:bCs/>
          <w:color w:val="000000"/>
          <w:sz w:val="24"/>
          <w:szCs w:val="24"/>
          <w:lang w:val="en"/>
        </w:rPr>
        <w:t>Types of research</w:t>
      </w:r>
    </w:p>
    <w:p w14:paraId="56655B5D" w14:textId="598CAACE" w:rsidR="0014663C" w:rsidRDefault="00BC2F61" w:rsidP="0014663C">
      <w:pPr>
        <w:ind w:firstLine="567"/>
        <w:contextualSpacing/>
        <w:jc w:val="both"/>
        <w:rPr>
          <w:color w:val="000000"/>
          <w:sz w:val="24"/>
          <w:szCs w:val="24"/>
          <w:lang w:val="en-ID"/>
        </w:rPr>
      </w:pPr>
      <w:r w:rsidRPr="0014663C">
        <w:rPr>
          <w:b/>
          <w:noProof/>
          <w:sz w:val="28"/>
          <w:szCs w:val="28"/>
          <w:lang w:val="en-US"/>
        </w:rPr>
        <w:drawing>
          <wp:anchor distT="0" distB="0" distL="114300" distR="114300" simplePos="0" relativeHeight="251661312" behindDoc="0" locked="0" layoutInCell="1" allowOverlap="1" wp14:anchorId="19C00263" wp14:editId="76286142">
            <wp:simplePos x="0" y="0"/>
            <wp:positionH relativeFrom="column">
              <wp:posOffset>838200</wp:posOffset>
            </wp:positionH>
            <wp:positionV relativeFrom="paragraph">
              <wp:posOffset>1155007</wp:posOffset>
            </wp:positionV>
            <wp:extent cx="3360420" cy="1604010"/>
            <wp:effectExtent l="0" t="0" r="0" b="0"/>
            <wp:wrapTopAndBottom/>
            <wp:docPr id="676364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64955" name=""/>
                    <pic:cNvPicPr/>
                  </pic:nvPicPr>
                  <pic:blipFill>
                    <a:blip r:embed="rId15">
                      <a:extLst>
                        <a:ext uri="{28A0092B-C50C-407E-A947-70E740481C1C}">
                          <a14:useLocalDpi xmlns:a14="http://schemas.microsoft.com/office/drawing/2010/main" val="0"/>
                        </a:ext>
                      </a:extLst>
                    </a:blip>
                    <a:stretch>
                      <a:fillRect/>
                    </a:stretch>
                  </pic:blipFill>
                  <pic:spPr>
                    <a:xfrm>
                      <a:off x="0" y="0"/>
                      <a:ext cx="3360420" cy="1604010"/>
                    </a:xfrm>
                    <a:prstGeom prst="rect">
                      <a:avLst/>
                    </a:prstGeom>
                  </pic:spPr>
                </pic:pic>
              </a:graphicData>
            </a:graphic>
          </wp:anchor>
        </w:drawing>
      </w:r>
      <w:r w:rsidRPr="006C387E">
        <w:rPr>
          <w:color w:val="000000"/>
          <w:sz w:val="24"/>
          <w:szCs w:val="24"/>
        </w:rPr>
        <w:t>This study employs a quantitative method, which produces numerical analysis processed using statistical techniques</w:t>
      </w:r>
      <w:r>
        <w:rPr>
          <w:color w:val="000000"/>
          <w:sz w:val="24"/>
          <w:szCs w:val="24"/>
        </w:rPr>
        <w:t xml:space="preserve"> </w:t>
      </w:r>
      <w:r w:rsidR="00AA68DC" w:rsidRPr="00AA68DC">
        <w:rPr>
          <w:color w:val="000000"/>
          <w:sz w:val="24"/>
          <w:szCs w:val="24"/>
          <w:lang w:val="en-ID"/>
        </w:rPr>
        <w:fldChar w:fldCharType="begin" w:fldLock="1"/>
      </w:r>
      <w:r>
        <w:rPr>
          <w:color w:val="000000"/>
          <w:sz w:val="24"/>
          <w:szCs w:val="24"/>
          <w:lang w:val="en-ID"/>
        </w:rPr>
        <w:instrText>ADDIN CSL_CITATION {"citationItems":[{"id":"ITEM-1","itemData":{"abstract":"The abstract purpose of this journal writing is that it USES quantitative research methods to collect data in Numbers that can be added into categories, in order of rank, and then measured in terms of measuring. This type of data can be used to make charts and mental data tables. The study is then used to test a teory and in the end support or reject it, researchers observe and form hypotheses in their efforts to explain a phenomenon. If a hypothesis passes the test many times, it could be a new scientific theory. The aim of this quantitative research method to develop mathematical models, theories and hypotheses associated with aphenomenon in which thw goal is to determine the link between variables within a population. The process of measurement provides a fundamental link between emoirical observation and the mathematics of the quantitative relationship.","author":[{"dropping-particle":"","family":"Ali","given":"M.Makhrus","non-dropping-particle":"","parse-names":false,"suffix":""},{"dropping-particle":"","family":"Hariyati","given":"Tri","non-dropping-particle":"","parse-names":false,"suffix":""},{"dropping-particle":"","family":"Pratiwi","given":"Meli Yudestia","non-dropping-particle":"","parse-names":false,"suffix":""},{"dropping-particle":"","family":"Afifah","given":"Siti","non-dropping-particle":"","parse-names":false,"suffix":""}],"container-title":"Education Journal.2022","id":"ITEM-1","issue":"2","issued":{"date-parts":[["2022"]]},"page":"1-6","title":"Metodologi Penelitian Kuantitatif dan Penerapannya dalam Penelitian","type":"article-journal","volume":"2"},"uris":["http://www.mendeley.com/documents/?uuid=a03412f8-b6c7-4d1c-b182-610b4d25206f","http://www.mendeley.com/documents/?uuid=3f27b2cb-d437-4b40-94e3-a2ed349d5320"]}],"mendeley":{"formattedCitation":"(Ali, Hariyati, Pratiwi, and Afifah, 2022)","manualFormatting":"(M. Ali et al., 2022)","plainTextFormattedCitation":"(Ali, Hariyati, Pratiwi, and Afifah, 2022)","previouslyFormattedCitation":"(Ali, Hariyati, Pratiwi, and Afifah, 2022)"},"properties":{"noteIndex":0},"schema":"https://github.com/citation-style-language/schema/raw/master/csl-citation.json"}</w:instrText>
      </w:r>
      <w:r w:rsidR="00AA68DC" w:rsidRPr="00AA68DC">
        <w:rPr>
          <w:color w:val="000000"/>
          <w:sz w:val="24"/>
          <w:szCs w:val="24"/>
          <w:lang w:val="en-ID"/>
        </w:rPr>
        <w:fldChar w:fldCharType="separate"/>
      </w:r>
      <w:r w:rsidR="00AA68DC" w:rsidRPr="00AA68DC">
        <w:rPr>
          <w:noProof/>
          <w:color w:val="000000"/>
          <w:sz w:val="24"/>
          <w:szCs w:val="24"/>
          <w:lang w:val="en-ID"/>
        </w:rPr>
        <w:t>(M. Ali et al., 2022)</w:t>
      </w:r>
      <w:r w:rsidR="00AA68DC" w:rsidRPr="00AA68DC">
        <w:rPr>
          <w:color w:val="000000"/>
          <w:sz w:val="24"/>
          <w:szCs w:val="24"/>
        </w:rPr>
        <w:fldChar w:fldCharType="end"/>
      </w:r>
      <w:r w:rsidR="00AA68DC" w:rsidRPr="00AA68DC">
        <w:rPr>
          <w:color w:val="000000"/>
          <w:sz w:val="24"/>
          <w:szCs w:val="24"/>
          <w:lang w:val="en-ID"/>
        </w:rPr>
        <w:t xml:space="preserve">. </w:t>
      </w:r>
      <w:r w:rsidRPr="006C387E">
        <w:rPr>
          <w:color w:val="000000"/>
          <w:sz w:val="24"/>
          <w:szCs w:val="24"/>
        </w:rPr>
        <w:t xml:space="preserve">The analytical technique used is </w:t>
      </w:r>
      <w:r w:rsidR="00DD5BC2">
        <w:rPr>
          <w:color w:val="000000"/>
          <w:sz w:val="24"/>
          <w:szCs w:val="24"/>
        </w:rPr>
        <w:t xml:space="preserve">multiple regression, which is </w:t>
      </w:r>
      <w:r w:rsidRPr="006C387E">
        <w:rPr>
          <w:color w:val="000000"/>
          <w:sz w:val="24"/>
          <w:szCs w:val="24"/>
        </w:rPr>
        <w:t>processed with Eviews software. The study adopts a descriptive approach, aiming to collect, analyze, and interpret data in a numerical or statistical format to describe and explain specific phenomena or variables</w:t>
      </w:r>
      <w:r w:rsidR="00AA68DC" w:rsidRPr="00AA68DC">
        <w:rPr>
          <w:color w:val="000000"/>
          <w:sz w:val="24"/>
          <w:szCs w:val="24"/>
          <w:lang w:val="en-ID"/>
        </w:rPr>
        <w:t xml:space="preserve"> objectively.</w:t>
      </w:r>
    </w:p>
    <w:p w14:paraId="096EDF12" w14:textId="77777777" w:rsidR="00AA68DC" w:rsidRPr="0014663C" w:rsidRDefault="00AA68DC" w:rsidP="0014663C">
      <w:pPr>
        <w:ind w:firstLine="567"/>
        <w:contextualSpacing/>
        <w:jc w:val="both"/>
        <w:rPr>
          <w:color w:val="000000"/>
          <w:sz w:val="24"/>
          <w:szCs w:val="24"/>
          <w:lang w:val="en-ID"/>
        </w:rPr>
      </w:pPr>
    </w:p>
    <w:p w14:paraId="7D7078AC" w14:textId="77777777" w:rsidR="00AA68DC" w:rsidRPr="006C387E" w:rsidRDefault="00BC2F61" w:rsidP="006C387E">
      <w:pPr>
        <w:contextualSpacing/>
        <w:jc w:val="center"/>
        <w:rPr>
          <w:bCs/>
          <w:sz w:val="24"/>
          <w:szCs w:val="24"/>
          <w:lang w:val="en-ID"/>
        </w:rPr>
      </w:pPr>
      <w:r w:rsidRPr="00AA68DC">
        <w:rPr>
          <w:b/>
          <w:sz w:val="24"/>
          <w:szCs w:val="24"/>
        </w:rPr>
        <w:t>Figure 1.</w:t>
      </w:r>
      <w:r>
        <w:rPr>
          <w:b/>
          <w:sz w:val="24"/>
          <w:szCs w:val="24"/>
        </w:rPr>
        <w:t xml:space="preserve"> </w:t>
      </w:r>
      <w:r w:rsidR="006C387E" w:rsidRPr="006C387E">
        <w:rPr>
          <w:bCs/>
          <w:sz w:val="24"/>
          <w:szCs w:val="24"/>
          <w:lang w:val="en"/>
        </w:rPr>
        <w:t>Conceptual Framework</w:t>
      </w:r>
    </w:p>
    <w:p w14:paraId="5ED25518" w14:textId="77777777" w:rsidR="0014663C" w:rsidRDefault="0014663C" w:rsidP="0014663C">
      <w:pPr>
        <w:contextualSpacing/>
        <w:rPr>
          <w:b/>
          <w:sz w:val="24"/>
          <w:szCs w:val="24"/>
        </w:rPr>
      </w:pPr>
    </w:p>
    <w:p w14:paraId="4617683D" w14:textId="77777777" w:rsidR="0014663C" w:rsidRPr="00A57485" w:rsidRDefault="00BC2F61" w:rsidP="0014663C">
      <w:pPr>
        <w:contextualSpacing/>
        <w:rPr>
          <w:b/>
          <w:sz w:val="24"/>
          <w:szCs w:val="24"/>
          <w:lang w:val="en-ID"/>
        </w:rPr>
      </w:pPr>
      <w:r w:rsidRPr="00A57485">
        <w:rPr>
          <w:b/>
          <w:sz w:val="24"/>
          <w:szCs w:val="24"/>
          <w:lang w:val="en"/>
        </w:rPr>
        <w:t>Population and Sample</w:t>
      </w:r>
    </w:p>
    <w:p w14:paraId="0B06C2EE" w14:textId="4B11F21B" w:rsidR="0014663C" w:rsidRDefault="00BC2F61" w:rsidP="0014663C">
      <w:pPr>
        <w:ind w:firstLine="567"/>
        <w:jc w:val="both"/>
        <w:rPr>
          <w:sz w:val="24"/>
        </w:rPr>
      </w:pPr>
      <w:r w:rsidRPr="00A57485">
        <w:rPr>
          <w:sz w:val="24"/>
        </w:rPr>
        <w:t>Population refers to the area of generalization that includes objects or subjects with specific qualities and characteristics determined by the researcher to be studied and analyzed</w:t>
      </w:r>
      <w:r>
        <w:rPr>
          <w:sz w:val="24"/>
        </w:rPr>
        <w:t xml:space="preserve"> </w:t>
      </w:r>
      <w:r>
        <w:rPr>
          <w:sz w:val="24"/>
        </w:rPr>
        <w:fldChar w:fldCharType="begin" w:fldLock="1"/>
      </w:r>
      <w:r w:rsidR="00445FA1">
        <w:rPr>
          <w:sz w:val="24"/>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2011)","author":[{"dropping-particle":"","family":"Sugiyono","given":"Sugiyono","non-dropping-particle":"","parse-names":false,"suffix":""}],"container-title":"ALFABETA","id":"ITEM-1","issued":{"date-parts":[["2017"]]},"title":"Metode Penelitian Kuantitatif, Kualitatif Dan R &amp; D","type":"article-journal"},"uris":["http://www.mendeley.com/documents/?uuid=d0269968-96f0-42b0-a874-a69acfc5706a"]}],"mendeley":{"formattedCitation":"(Sugiyono, 2017)","plainTextFormattedCitation":"(Sugiyono, 2017)","previouslyFormattedCitation":"(Sugiyono, 2017)"},"properties":{"noteIndex":0},"schema":"https://github.com/citation-style-language/schema/raw/master/csl-citation.json"}</w:instrText>
      </w:r>
      <w:r>
        <w:rPr>
          <w:sz w:val="24"/>
        </w:rPr>
        <w:fldChar w:fldCharType="separate"/>
      </w:r>
      <w:r w:rsidRPr="0014663C">
        <w:rPr>
          <w:noProof/>
          <w:sz w:val="24"/>
        </w:rPr>
        <w:t>(Sugiyono, 2017)</w:t>
      </w:r>
      <w:r>
        <w:rPr>
          <w:sz w:val="24"/>
        </w:rPr>
        <w:fldChar w:fldCharType="end"/>
      </w:r>
      <w:r w:rsidRPr="00461C8E">
        <w:rPr>
          <w:sz w:val="24"/>
        </w:rPr>
        <w:t xml:space="preserve">. </w:t>
      </w:r>
      <w:r w:rsidRPr="00A57485">
        <w:rPr>
          <w:sz w:val="24"/>
        </w:rPr>
        <w:t>Meanwhile, a sample is a subset of the population with specific quantity and characteristics. When the population is significant, and it is not feasible to study everything, researchers will use a sample</w:t>
      </w:r>
      <w:r>
        <w:rPr>
          <w:sz w:val="24"/>
        </w:rPr>
        <w:t xml:space="preserve"> </w:t>
      </w:r>
      <w:r>
        <w:rPr>
          <w:sz w:val="24"/>
        </w:rPr>
        <w:fldChar w:fldCharType="begin" w:fldLock="1"/>
      </w:r>
      <w:r w:rsidR="00445FA1">
        <w:rPr>
          <w:sz w:val="24"/>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2011)","author":[{"dropping-particle":"","family":"Sugiyono","given":"Sugiyono","non-dropping-particle":"","parse-names":false,"suffix":""}],"container-title":"ALFABETA","id":"ITEM-1","issued":{"date-parts":[["2017"]]},"title":"Metode Penelitian Kuantitatif, Kualitatif Dan R &amp; D","type":"article-journal"},"uris":["http://www.mendeley.com/documents/?uuid=d0269968-96f0-42b0-a874-a69acfc5706a"]}],"mendeley":{"formattedCitation":"(Sugiyono, 2017)","plainTextFormattedCitation":"(Sugiyono, 2017)","previouslyFormattedCitation":"(Sugiyono, 2017)"},"properties":{"noteIndex":0},"schema":"https://github.com/citation-style-language/schema/raw/master/csl-citation.json"}</w:instrText>
      </w:r>
      <w:r>
        <w:rPr>
          <w:sz w:val="24"/>
        </w:rPr>
        <w:fldChar w:fldCharType="separate"/>
      </w:r>
      <w:r w:rsidRPr="0014663C">
        <w:rPr>
          <w:noProof/>
          <w:sz w:val="24"/>
        </w:rPr>
        <w:t>(Sugiyono, 2017)</w:t>
      </w:r>
      <w:r>
        <w:rPr>
          <w:sz w:val="24"/>
        </w:rPr>
        <w:fldChar w:fldCharType="end"/>
      </w:r>
      <w:r w:rsidRPr="00461C8E">
        <w:rPr>
          <w:sz w:val="24"/>
        </w:rPr>
        <w:t>.</w:t>
      </w:r>
    </w:p>
    <w:p w14:paraId="1D70E4FA" w14:textId="0A81C6F6" w:rsidR="0014663C" w:rsidRDefault="00BC2F61" w:rsidP="0014663C">
      <w:pPr>
        <w:ind w:firstLine="567"/>
        <w:jc w:val="both"/>
        <w:rPr>
          <w:sz w:val="24"/>
        </w:rPr>
      </w:pPr>
      <w:r w:rsidRPr="00A57485">
        <w:rPr>
          <w:sz w:val="24"/>
        </w:rPr>
        <w:t>In this study, the population consists of the 128 largest active Islamic banks in the world, which are listed and consistently publish annual financial reports for the period 2019-2023 obtained from Bank Scope and WDI</w:t>
      </w:r>
      <w:r>
        <w:rPr>
          <w:sz w:val="24"/>
        </w:rPr>
        <w:t xml:space="preserve"> </w:t>
      </w:r>
      <w:r>
        <w:rPr>
          <w:sz w:val="24"/>
        </w:rPr>
        <w:fldChar w:fldCharType="begin" w:fldLock="1"/>
      </w:r>
      <w:r>
        <w:rPr>
          <w:sz w:val="24"/>
        </w:rPr>
        <w:instrText>ADDIN CSL_CITATION {"citationItems":[{"id":"ITEM-1","itemData":{"DOI":"10.12816/0047339","ISSN":"22892109","abstract":"… The main objective of this research is to examine the impact of bank-specific, market-specific and macroeconomic determinants on margins of Islamic banks in Asian countries. This …","author":[{"dropping-particle":"","family":"Pitchay","given":"Anwar Allah","non-dropping-particle":"","parse-names":false,"suffix":""},{"dropping-particle":"","family":"Malim","given":"Nurhafiza Abdul Kader","non-dropping-particle":"","parse-names":false,"suffix":""},{"dropping-particle":"","family":"Masron","given":"Tajul Ariffin","non-dropping-particle":"","parse-names":false,"suffix":""}],"container-title":"Journal of Islamic Finance","id":"ITEM-1","issue":"Special Issue","issued":{"date-parts":[["2017"]]},"page":"46-53","title":"Determinants of Islamic Banks’ Margins in Asian Countries","type":"article-journal","volume":"6"},"uris":["http://www.mendeley.com/documents/?uuid=de4bbc6c-2892-48b8-9599-2afa39d0dc72","http://www.mendeley.com/documents/?uuid=e7272665-e914-4482-9815-063cbcbc6503"]}],"mendeley":{"formattedCitation":"(Pitchay, Malim, and Masron, 2017)","plainTextFormattedCitation":"(Pitchay, Malim, and Masron, 2017)","previouslyFormattedCitation":"(Pitchay, Malim, and Masron, 2017)"},"properties":{"noteIndex":0},"schema":"https://github.com/citation-style-language/schema/raw/master/csl-citation.json"}</w:instrText>
      </w:r>
      <w:r>
        <w:rPr>
          <w:sz w:val="24"/>
        </w:rPr>
        <w:fldChar w:fldCharType="separate"/>
      </w:r>
      <w:r w:rsidRPr="0014663C">
        <w:rPr>
          <w:noProof/>
          <w:sz w:val="24"/>
        </w:rPr>
        <w:t>(Pitchay et al., 2017)</w:t>
      </w:r>
      <w:r>
        <w:rPr>
          <w:sz w:val="24"/>
        </w:rPr>
        <w:fldChar w:fldCharType="end"/>
      </w:r>
      <w:r>
        <w:rPr>
          <w:sz w:val="24"/>
        </w:rPr>
        <w:t xml:space="preserve">. </w:t>
      </w:r>
      <w:r w:rsidRPr="00A57485">
        <w:rPr>
          <w:sz w:val="24"/>
        </w:rPr>
        <w:t>From this population, the study applies a purposive sampling technique. Therefore, the sample includes 15 Islamic banks with the most significant asset values from each country, originating from 11 different countries</w:t>
      </w:r>
      <w:r w:rsidRPr="00461C8E">
        <w:rPr>
          <w:sz w:val="24"/>
        </w:rPr>
        <w:t>.</w:t>
      </w:r>
    </w:p>
    <w:p w14:paraId="0F0D0D5C" w14:textId="77777777" w:rsidR="0014663C" w:rsidRDefault="0014663C" w:rsidP="0014663C">
      <w:pPr>
        <w:jc w:val="both"/>
        <w:rPr>
          <w:sz w:val="24"/>
        </w:rPr>
      </w:pPr>
    </w:p>
    <w:p w14:paraId="02C6414A" w14:textId="77777777" w:rsidR="0014663C" w:rsidRDefault="00BC2F61" w:rsidP="0014663C">
      <w:pPr>
        <w:jc w:val="center"/>
        <w:rPr>
          <w:sz w:val="24"/>
        </w:rPr>
      </w:pPr>
      <w:r w:rsidRPr="0014663C">
        <w:rPr>
          <w:b/>
          <w:bCs/>
          <w:sz w:val="24"/>
        </w:rPr>
        <w:t>Tab</w:t>
      </w:r>
      <w:r w:rsidR="00A57485">
        <w:rPr>
          <w:b/>
          <w:bCs/>
          <w:sz w:val="24"/>
        </w:rPr>
        <w:t>le</w:t>
      </w:r>
      <w:r w:rsidRPr="0014663C">
        <w:rPr>
          <w:b/>
          <w:bCs/>
          <w:sz w:val="24"/>
        </w:rPr>
        <w:t xml:space="preserve"> 1</w:t>
      </w:r>
      <w:r>
        <w:rPr>
          <w:b/>
          <w:bCs/>
          <w:sz w:val="24"/>
        </w:rPr>
        <w:t xml:space="preserve">. </w:t>
      </w:r>
      <w:r w:rsidR="00A57485" w:rsidRPr="00A57485">
        <w:rPr>
          <w:sz w:val="24"/>
        </w:rPr>
        <w:t>Sampling Criteria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3"/>
        <w:gridCol w:w="3964"/>
      </w:tblGrid>
      <w:tr w:rsidR="000B5092" w14:paraId="6809AEE8" w14:textId="77777777" w:rsidTr="00C17D52">
        <w:tc>
          <w:tcPr>
            <w:tcW w:w="3963" w:type="dxa"/>
          </w:tcPr>
          <w:p w14:paraId="0AC37693" w14:textId="77777777" w:rsidR="0014663C" w:rsidRPr="00A57485" w:rsidRDefault="00BC2F61" w:rsidP="00A57485">
            <w:pPr>
              <w:jc w:val="center"/>
              <w:rPr>
                <w:b/>
                <w:bCs/>
                <w:sz w:val="24"/>
                <w:szCs w:val="24"/>
                <w:lang w:val="en-ID"/>
              </w:rPr>
            </w:pPr>
            <w:r w:rsidRPr="00A57485">
              <w:rPr>
                <w:b/>
                <w:bCs/>
                <w:sz w:val="24"/>
                <w:szCs w:val="24"/>
                <w:lang w:val="en"/>
              </w:rPr>
              <w:t xml:space="preserve">Criteria for Determining Sample </w:t>
            </w:r>
          </w:p>
        </w:tc>
        <w:tc>
          <w:tcPr>
            <w:tcW w:w="3964" w:type="dxa"/>
          </w:tcPr>
          <w:p w14:paraId="07A88BD9" w14:textId="77777777" w:rsidR="0014663C" w:rsidRPr="00A57485" w:rsidRDefault="00BC2F61" w:rsidP="00A57485">
            <w:pPr>
              <w:jc w:val="center"/>
              <w:rPr>
                <w:b/>
                <w:bCs/>
                <w:sz w:val="24"/>
                <w:szCs w:val="24"/>
                <w:lang w:val="en-ID"/>
              </w:rPr>
            </w:pPr>
            <w:r w:rsidRPr="00A57485">
              <w:rPr>
                <w:b/>
                <w:bCs/>
                <w:sz w:val="24"/>
                <w:szCs w:val="24"/>
                <w:lang w:val="en"/>
              </w:rPr>
              <w:t>Number of Observations</w:t>
            </w:r>
          </w:p>
        </w:tc>
      </w:tr>
      <w:tr w:rsidR="000B5092" w14:paraId="7DE44363" w14:textId="77777777" w:rsidTr="00C17D52">
        <w:tc>
          <w:tcPr>
            <w:tcW w:w="3963" w:type="dxa"/>
          </w:tcPr>
          <w:p w14:paraId="5687D5DF" w14:textId="77777777" w:rsidR="0014663C" w:rsidRPr="00461C8E" w:rsidRDefault="00BC2F61" w:rsidP="00A34EE9">
            <w:pPr>
              <w:jc w:val="both"/>
              <w:rPr>
                <w:sz w:val="24"/>
                <w:szCs w:val="24"/>
              </w:rPr>
            </w:pPr>
            <w:r w:rsidRPr="00A57485">
              <w:rPr>
                <w:sz w:val="24"/>
                <w:szCs w:val="24"/>
              </w:rPr>
              <w:t>Sharia Bank in Asia, which has the most significant asset value and is registered with the IFSB</w:t>
            </w:r>
          </w:p>
        </w:tc>
        <w:tc>
          <w:tcPr>
            <w:tcW w:w="3964" w:type="dxa"/>
            <w:vAlign w:val="center"/>
          </w:tcPr>
          <w:p w14:paraId="3424ABEC" w14:textId="77777777" w:rsidR="0014663C" w:rsidRPr="00461C8E" w:rsidRDefault="00BC2F61" w:rsidP="0014663C">
            <w:pPr>
              <w:jc w:val="center"/>
              <w:rPr>
                <w:sz w:val="24"/>
                <w:szCs w:val="24"/>
              </w:rPr>
            </w:pPr>
            <w:r w:rsidRPr="00461C8E">
              <w:rPr>
                <w:sz w:val="24"/>
                <w:szCs w:val="24"/>
              </w:rPr>
              <w:t>1</w:t>
            </w:r>
            <w:r>
              <w:rPr>
                <w:sz w:val="24"/>
                <w:szCs w:val="24"/>
              </w:rPr>
              <w:t>28</w:t>
            </w:r>
          </w:p>
        </w:tc>
      </w:tr>
      <w:tr w:rsidR="000B5092" w14:paraId="2224504E" w14:textId="77777777" w:rsidTr="00C17D52">
        <w:tc>
          <w:tcPr>
            <w:tcW w:w="3963" w:type="dxa"/>
          </w:tcPr>
          <w:p w14:paraId="38FA382F" w14:textId="77777777" w:rsidR="0014663C" w:rsidRPr="00461C8E" w:rsidRDefault="00BC2F61" w:rsidP="00A34EE9">
            <w:pPr>
              <w:jc w:val="both"/>
              <w:rPr>
                <w:sz w:val="24"/>
                <w:szCs w:val="24"/>
              </w:rPr>
            </w:pPr>
            <w:r w:rsidRPr="00A57485">
              <w:rPr>
                <w:sz w:val="24"/>
                <w:szCs w:val="24"/>
              </w:rPr>
              <w:t xml:space="preserve">Sharia banks in Asia have assets of less than 5 billion dollars </w:t>
            </w:r>
            <w:r>
              <w:rPr>
                <w:sz w:val="24"/>
                <w:szCs w:val="24"/>
              </w:rPr>
              <w:fldChar w:fldCharType="begin" w:fldLock="1"/>
            </w:r>
            <w:r w:rsidR="00B73410">
              <w:rPr>
                <w:sz w:val="24"/>
                <w:szCs w:val="24"/>
              </w:rPr>
              <w:instrText>ADDIN CSL_CITATION {"citationItems":[{"id":"ITEM-1","itemData":{"DOI":"10.12816/0047339","ISSN":"22892109","abstract":"… The main objective of this research is to examine the impact of bank-specific, market-specific and macroeconomic determinants on margins of Islamic banks in Asian countries. This …","author":[{"dropping-particle":"","family":"Pitchay","given":"Anwar Allah","non-dropping-particle":"","parse-names":false,"suffix":""},{"dropping-particle":"","family":"Malim","given":"Nurhafiza Abdul Kader","non-dropping-particle":"","parse-names":false,"suffix":""},{"dropping-particle":"","family":"Masron","given":"Tajul Ariffin","non-dropping-particle":"","parse-names":false,"suffix":""}],"container-title":"Journal of Islamic Finance","id":"ITEM-1","issue":"Special Issue","issued":{"date-parts":[["2017"]]},"page":"46-53","title":"Determinants of Islamic Banks’ Margins in Asian Countries","type":"article-journal","volume":"6"},"uris":["http://www.mendeley.com/documents/?uuid=e7272665-e914-4482-9815-063cbcbc6503"]}],"mendeley":{"formattedCitation":"(Pitchay, Malim, and Masron, 2017)","plainTextFormattedCitation":"(Pitchay, Malim, and Masron, 2017)","previouslyFormattedCitation":"(Pitchay, Malim, and Masron, 2017)"},"properties":{"noteIndex":0},"schema":"https://github.com/citation-style-language/schema/raw/master/csl-citation.json"}</w:instrText>
            </w:r>
            <w:r>
              <w:rPr>
                <w:sz w:val="24"/>
                <w:szCs w:val="24"/>
              </w:rPr>
              <w:fldChar w:fldCharType="separate"/>
            </w:r>
            <w:r w:rsidR="00445FA1" w:rsidRPr="00445FA1">
              <w:rPr>
                <w:noProof/>
                <w:sz w:val="24"/>
                <w:szCs w:val="24"/>
              </w:rPr>
              <w:t>(Pitchay et al., 2017)</w:t>
            </w:r>
            <w:r>
              <w:rPr>
                <w:sz w:val="24"/>
                <w:szCs w:val="24"/>
              </w:rPr>
              <w:fldChar w:fldCharType="end"/>
            </w:r>
            <w:r>
              <w:rPr>
                <w:sz w:val="24"/>
                <w:szCs w:val="24"/>
              </w:rPr>
              <w:t>.</w:t>
            </w:r>
          </w:p>
        </w:tc>
        <w:tc>
          <w:tcPr>
            <w:tcW w:w="3964" w:type="dxa"/>
            <w:vAlign w:val="center"/>
          </w:tcPr>
          <w:p w14:paraId="724A296E" w14:textId="77777777" w:rsidR="0014663C" w:rsidRPr="00461C8E" w:rsidRDefault="00BC2F61" w:rsidP="0014663C">
            <w:pPr>
              <w:jc w:val="center"/>
              <w:rPr>
                <w:sz w:val="24"/>
                <w:szCs w:val="24"/>
              </w:rPr>
            </w:pPr>
            <w:r>
              <w:rPr>
                <w:sz w:val="24"/>
                <w:szCs w:val="24"/>
              </w:rPr>
              <w:t>( 90</w:t>
            </w:r>
            <w:r w:rsidRPr="00461C8E">
              <w:rPr>
                <w:sz w:val="24"/>
                <w:szCs w:val="24"/>
              </w:rPr>
              <w:t xml:space="preserve"> </w:t>
            </w:r>
            <w:r>
              <w:rPr>
                <w:sz w:val="24"/>
                <w:szCs w:val="24"/>
              </w:rPr>
              <w:t>)</w:t>
            </w:r>
          </w:p>
        </w:tc>
      </w:tr>
      <w:tr w:rsidR="000B5092" w14:paraId="70E44794" w14:textId="77777777" w:rsidTr="00C17D52">
        <w:tc>
          <w:tcPr>
            <w:tcW w:w="3963" w:type="dxa"/>
          </w:tcPr>
          <w:p w14:paraId="6629972D" w14:textId="77777777" w:rsidR="0014663C" w:rsidRPr="00461C8E" w:rsidRDefault="00BC2F61" w:rsidP="00A34EE9">
            <w:pPr>
              <w:tabs>
                <w:tab w:val="left" w:pos="1152"/>
              </w:tabs>
              <w:jc w:val="both"/>
              <w:rPr>
                <w:sz w:val="24"/>
                <w:szCs w:val="24"/>
              </w:rPr>
            </w:pPr>
            <w:r w:rsidRPr="00A57485">
              <w:rPr>
                <w:sz w:val="24"/>
                <w:szCs w:val="24"/>
              </w:rPr>
              <w:lastRenderedPageBreak/>
              <w:t>Availability of data from banks that publish financial reports</w:t>
            </w:r>
          </w:p>
        </w:tc>
        <w:tc>
          <w:tcPr>
            <w:tcW w:w="3964" w:type="dxa"/>
            <w:vAlign w:val="center"/>
          </w:tcPr>
          <w:p w14:paraId="64998731" w14:textId="77777777" w:rsidR="0014663C" w:rsidRPr="00461C8E" w:rsidRDefault="00BC2F61" w:rsidP="0014663C">
            <w:pPr>
              <w:jc w:val="center"/>
              <w:rPr>
                <w:sz w:val="24"/>
                <w:szCs w:val="24"/>
              </w:rPr>
            </w:pPr>
            <w:r>
              <w:rPr>
                <w:sz w:val="24"/>
                <w:szCs w:val="24"/>
              </w:rPr>
              <w:t>( 23 )</w:t>
            </w:r>
          </w:p>
        </w:tc>
      </w:tr>
      <w:tr w:rsidR="000B5092" w14:paraId="66B44868" w14:textId="77777777" w:rsidTr="00C17D52">
        <w:tc>
          <w:tcPr>
            <w:tcW w:w="3963" w:type="dxa"/>
          </w:tcPr>
          <w:p w14:paraId="009ADE5F" w14:textId="77777777" w:rsidR="0014663C" w:rsidRPr="00461C8E" w:rsidRDefault="00BC2F61" w:rsidP="00A34EE9">
            <w:pPr>
              <w:tabs>
                <w:tab w:val="left" w:pos="1152"/>
              </w:tabs>
              <w:jc w:val="both"/>
              <w:rPr>
                <w:sz w:val="24"/>
                <w:szCs w:val="24"/>
              </w:rPr>
            </w:pPr>
            <w:r>
              <w:rPr>
                <w:sz w:val="24"/>
                <w:szCs w:val="24"/>
              </w:rPr>
              <w:t>N</w:t>
            </w:r>
            <w:r w:rsidRPr="00A57485">
              <w:rPr>
                <w:sz w:val="24"/>
                <w:szCs w:val="24"/>
              </w:rPr>
              <w:t>umber of Sharia Bank samples</w:t>
            </w:r>
          </w:p>
        </w:tc>
        <w:tc>
          <w:tcPr>
            <w:tcW w:w="3964" w:type="dxa"/>
          </w:tcPr>
          <w:p w14:paraId="5051A1AD" w14:textId="77777777" w:rsidR="0014663C" w:rsidRDefault="00BC2F61" w:rsidP="00A34EE9">
            <w:pPr>
              <w:jc w:val="center"/>
              <w:rPr>
                <w:sz w:val="24"/>
                <w:szCs w:val="24"/>
              </w:rPr>
            </w:pPr>
            <w:r>
              <w:rPr>
                <w:sz w:val="24"/>
                <w:szCs w:val="24"/>
              </w:rPr>
              <w:t>15</w:t>
            </w:r>
          </w:p>
        </w:tc>
      </w:tr>
    </w:tbl>
    <w:p w14:paraId="2D4AABED" w14:textId="77777777" w:rsidR="0014663C" w:rsidRDefault="0014663C" w:rsidP="0014663C">
      <w:pPr>
        <w:jc w:val="center"/>
        <w:rPr>
          <w:b/>
          <w:bCs/>
          <w:sz w:val="24"/>
        </w:rPr>
      </w:pPr>
    </w:p>
    <w:p w14:paraId="24B27D63" w14:textId="77777777" w:rsidR="0014663C" w:rsidRDefault="00BC2F61" w:rsidP="0014663C">
      <w:pPr>
        <w:jc w:val="center"/>
        <w:rPr>
          <w:sz w:val="24"/>
        </w:rPr>
      </w:pPr>
      <w:r>
        <w:rPr>
          <w:b/>
          <w:bCs/>
          <w:sz w:val="24"/>
        </w:rPr>
        <w:t>Ta</w:t>
      </w:r>
      <w:r w:rsidR="00A57485">
        <w:rPr>
          <w:b/>
          <w:bCs/>
          <w:sz w:val="24"/>
        </w:rPr>
        <w:t>ble</w:t>
      </w:r>
      <w:r>
        <w:rPr>
          <w:b/>
          <w:bCs/>
          <w:sz w:val="24"/>
        </w:rPr>
        <w:t xml:space="preserve"> 2. </w:t>
      </w:r>
      <w:r w:rsidR="00A57485" w:rsidRPr="00A57485">
        <w:rPr>
          <w:sz w:val="24"/>
        </w:rPr>
        <w:t>Research sample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3"/>
        <w:gridCol w:w="3964"/>
      </w:tblGrid>
      <w:tr w:rsidR="000B5092" w14:paraId="4CDF0D94" w14:textId="77777777" w:rsidTr="00C17D52">
        <w:tc>
          <w:tcPr>
            <w:tcW w:w="3963" w:type="dxa"/>
            <w:vAlign w:val="center"/>
          </w:tcPr>
          <w:p w14:paraId="6E811415" w14:textId="77777777" w:rsidR="0014663C" w:rsidRPr="00A67BCB" w:rsidRDefault="00BC2F61" w:rsidP="0014663C">
            <w:pPr>
              <w:spacing w:line="360" w:lineRule="auto"/>
              <w:jc w:val="center"/>
              <w:rPr>
                <w:b/>
                <w:bCs/>
                <w:sz w:val="24"/>
                <w:szCs w:val="24"/>
              </w:rPr>
            </w:pPr>
            <w:bookmarkStart w:id="1" w:name="_Hlk180176810"/>
            <w:r>
              <w:rPr>
                <w:b/>
                <w:bCs/>
                <w:sz w:val="24"/>
                <w:szCs w:val="24"/>
              </w:rPr>
              <w:t>Country</w:t>
            </w:r>
          </w:p>
        </w:tc>
        <w:tc>
          <w:tcPr>
            <w:tcW w:w="3964" w:type="dxa"/>
            <w:vAlign w:val="center"/>
          </w:tcPr>
          <w:p w14:paraId="68EC50A7" w14:textId="77777777" w:rsidR="0014663C" w:rsidRPr="00A67BCB" w:rsidRDefault="00BC2F61" w:rsidP="0014663C">
            <w:pPr>
              <w:spacing w:line="360" w:lineRule="auto"/>
              <w:jc w:val="center"/>
              <w:rPr>
                <w:b/>
                <w:bCs/>
                <w:sz w:val="24"/>
                <w:szCs w:val="24"/>
              </w:rPr>
            </w:pPr>
            <w:r>
              <w:rPr>
                <w:b/>
                <w:bCs/>
                <w:sz w:val="24"/>
                <w:szCs w:val="24"/>
              </w:rPr>
              <w:t>B</w:t>
            </w:r>
            <w:r w:rsidRPr="00A57485">
              <w:rPr>
                <w:b/>
                <w:bCs/>
                <w:sz w:val="24"/>
                <w:szCs w:val="24"/>
              </w:rPr>
              <w:t xml:space="preserve">ank </w:t>
            </w:r>
            <w:r>
              <w:rPr>
                <w:b/>
                <w:bCs/>
                <w:sz w:val="24"/>
                <w:szCs w:val="24"/>
              </w:rPr>
              <w:t>N</w:t>
            </w:r>
            <w:r w:rsidRPr="00A57485">
              <w:rPr>
                <w:b/>
                <w:bCs/>
                <w:sz w:val="24"/>
                <w:szCs w:val="24"/>
              </w:rPr>
              <w:t>ame</w:t>
            </w:r>
          </w:p>
        </w:tc>
      </w:tr>
      <w:tr w:rsidR="000B5092" w14:paraId="22216201" w14:textId="77777777" w:rsidTr="00C17D52">
        <w:tc>
          <w:tcPr>
            <w:tcW w:w="3963" w:type="dxa"/>
            <w:vAlign w:val="center"/>
          </w:tcPr>
          <w:p w14:paraId="2418CAB9" w14:textId="77777777" w:rsidR="0014663C" w:rsidRDefault="00BC2F61" w:rsidP="0014663C">
            <w:pPr>
              <w:spacing w:line="360" w:lineRule="auto"/>
              <w:jc w:val="center"/>
              <w:rPr>
                <w:sz w:val="24"/>
                <w:szCs w:val="24"/>
              </w:rPr>
            </w:pPr>
            <w:r>
              <w:rPr>
                <w:sz w:val="24"/>
                <w:szCs w:val="24"/>
              </w:rPr>
              <w:t>Saudi Arabia</w:t>
            </w:r>
          </w:p>
        </w:tc>
        <w:tc>
          <w:tcPr>
            <w:tcW w:w="3964" w:type="dxa"/>
            <w:vAlign w:val="center"/>
          </w:tcPr>
          <w:p w14:paraId="6625DA85" w14:textId="77777777" w:rsidR="0014663C" w:rsidRDefault="00BC2F61" w:rsidP="0014663C">
            <w:pPr>
              <w:spacing w:line="360" w:lineRule="auto"/>
              <w:jc w:val="center"/>
              <w:rPr>
                <w:sz w:val="24"/>
                <w:szCs w:val="24"/>
              </w:rPr>
            </w:pPr>
            <w:r>
              <w:rPr>
                <w:sz w:val="24"/>
                <w:szCs w:val="24"/>
              </w:rPr>
              <w:t>Al Rajhi bank</w:t>
            </w:r>
          </w:p>
          <w:p w14:paraId="553D0CD0" w14:textId="77777777" w:rsidR="0014663C" w:rsidRDefault="00BC2F61" w:rsidP="0014663C">
            <w:pPr>
              <w:spacing w:line="360" w:lineRule="auto"/>
              <w:jc w:val="center"/>
              <w:rPr>
                <w:sz w:val="24"/>
                <w:szCs w:val="24"/>
              </w:rPr>
            </w:pPr>
            <w:r>
              <w:rPr>
                <w:sz w:val="24"/>
                <w:szCs w:val="24"/>
              </w:rPr>
              <w:t>Alinma Bank</w:t>
            </w:r>
          </w:p>
        </w:tc>
      </w:tr>
      <w:tr w:rsidR="000B5092" w14:paraId="4B341C4F" w14:textId="77777777" w:rsidTr="00C17D52">
        <w:tc>
          <w:tcPr>
            <w:tcW w:w="3963" w:type="dxa"/>
            <w:vAlign w:val="center"/>
          </w:tcPr>
          <w:p w14:paraId="75B97D0D" w14:textId="77777777" w:rsidR="0014663C" w:rsidRDefault="00BC2F61" w:rsidP="0014663C">
            <w:pPr>
              <w:spacing w:line="360" w:lineRule="auto"/>
              <w:jc w:val="center"/>
              <w:rPr>
                <w:sz w:val="24"/>
                <w:szCs w:val="24"/>
              </w:rPr>
            </w:pPr>
            <w:r>
              <w:rPr>
                <w:sz w:val="24"/>
                <w:szCs w:val="24"/>
              </w:rPr>
              <w:t>Kuwait</w:t>
            </w:r>
          </w:p>
        </w:tc>
        <w:tc>
          <w:tcPr>
            <w:tcW w:w="3964" w:type="dxa"/>
            <w:vAlign w:val="center"/>
          </w:tcPr>
          <w:p w14:paraId="67FF60DE" w14:textId="77777777" w:rsidR="0014663C" w:rsidRDefault="00BC2F61" w:rsidP="0014663C">
            <w:pPr>
              <w:spacing w:line="360" w:lineRule="auto"/>
              <w:jc w:val="center"/>
              <w:rPr>
                <w:sz w:val="24"/>
                <w:szCs w:val="24"/>
              </w:rPr>
            </w:pPr>
            <w:r>
              <w:rPr>
                <w:sz w:val="24"/>
                <w:szCs w:val="24"/>
              </w:rPr>
              <w:t>Kuwait Finance House</w:t>
            </w:r>
          </w:p>
        </w:tc>
      </w:tr>
      <w:tr w:rsidR="000B5092" w14:paraId="70545F7D" w14:textId="77777777" w:rsidTr="00C17D52">
        <w:tc>
          <w:tcPr>
            <w:tcW w:w="3963" w:type="dxa"/>
            <w:vAlign w:val="center"/>
          </w:tcPr>
          <w:p w14:paraId="292EDF9D" w14:textId="77777777" w:rsidR="0014663C" w:rsidRDefault="00BC2F61" w:rsidP="0014663C">
            <w:pPr>
              <w:spacing w:line="360" w:lineRule="auto"/>
              <w:jc w:val="center"/>
              <w:rPr>
                <w:sz w:val="24"/>
                <w:szCs w:val="24"/>
              </w:rPr>
            </w:pPr>
            <w:r>
              <w:rPr>
                <w:sz w:val="24"/>
                <w:szCs w:val="24"/>
              </w:rPr>
              <w:t>Qatar</w:t>
            </w:r>
          </w:p>
        </w:tc>
        <w:tc>
          <w:tcPr>
            <w:tcW w:w="3964" w:type="dxa"/>
            <w:vAlign w:val="center"/>
          </w:tcPr>
          <w:p w14:paraId="06454682" w14:textId="77777777" w:rsidR="0014663C" w:rsidRDefault="00BC2F61" w:rsidP="0014663C">
            <w:pPr>
              <w:spacing w:line="360" w:lineRule="auto"/>
              <w:jc w:val="center"/>
              <w:rPr>
                <w:sz w:val="24"/>
                <w:szCs w:val="24"/>
              </w:rPr>
            </w:pPr>
            <w:r>
              <w:rPr>
                <w:sz w:val="24"/>
                <w:szCs w:val="24"/>
              </w:rPr>
              <w:t>Qatar Islamic Banking</w:t>
            </w:r>
          </w:p>
          <w:p w14:paraId="2AAE8CBF" w14:textId="77777777" w:rsidR="0014663C" w:rsidRDefault="00BC2F61" w:rsidP="0014663C">
            <w:pPr>
              <w:spacing w:line="360" w:lineRule="auto"/>
              <w:jc w:val="center"/>
              <w:rPr>
                <w:sz w:val="24"/>
                <w:szCs w:val="24"/>
              </w:rPr>
            </w:pPr>
            <w:r>
              <w:rPr>
                <w:sz w:val="24"/>
                <w:szCs w:val="24"/>
              </w:rPr>
              <w:t>Masraf Al Rayan</w:t>
            </w:r>
          </w:p>
          <w:p w14:paraId="055A329D" w14:textId="77777777" w:rsidR="0014663C" w:rsidRDefault="00BC2F61" w:rsidP="0014663C">
            <w:pPr>
              <w:spacing w:line="360" w:lineRule="auto"/>
              <w:jc w:val="center"/>
              <w:rPr>
                <w:sz w:val="24"/>
                <w:szCs w:val="24"/>
              </w:rPr>
            </w:pPr>
            <w:r>
              <w:rPr>
                <w:sz w:val="24"/>
                <w:szCs w:val="24"/>
              </w:rPr>
              <w:t>Dukhan Bank</w:t>
            </w:r>
          </w:p>
        </w:tc>
      </w:tr>
      <w:tr w:rsidR="000B5092" w14:paraId="155C6C86" w14:textId="77777777" w:rsidTr="00C17D52">
        <w:tc>
          <w:tcPr>
            <w:tcW w:w="3963" w:type="dxa"/>
            <w:vAlign w:val="center"/>
          </w:tcPr>
          <w:p w14:paraId="6FE02FED" w14:textId="77777777" w:rsidR="0014663C" w:rsidRDefault="00BC2F61" w:rsidP="0014663C">
            <w:pPr>
              <w:spacing w:line="360" w:lineRule="auto"/>
              <w:jc w:val="center"/>
              <w:rPr>
                <w:sz w:val="24"/>
                <w:szCs w:val="24"/>
              </w:rPr>
            </w:pPr>
            <w:r>
              <w:rPr>
                <w:sz w:val="24"/>
                <w:szCs w:val="24"/>
              </w:rPr>
              <w:t>Pakistan</w:t>
            </w:r>
          </w:p>
        </w:tc>
        <w:tc>
          <w:tcPr>
            <w:tcW w:w="3964" w:type="dxa"/>
            <w:vAlign w:val="center"/>
          </w:tcPr>
          <w:p w14:paraId="069B7822" w14:textId="77777777" w:rsidR="0014663C" w:rsidRDefault="00BC2F61" w:rsidP="0014663C">
            <w:pPr>
              <w:spacing w:line="360" w:lineRule="auto"/>
              <w:jc w:val="center"/>
              <w:rPr>
                <w:sz w:val="24"/>
                <w:szCs w:val="24"/>
              </w:rPr>
            </w:pPr>
            <w:r>
              <w:rPr>
                <w:sz w:val="24"/>
                <w:szCs w:val="24"/>
              </w:rPr>
              <w:t>Meezan Bank</w:t>
            </w:r>
          </w:p>
        </w:tc>
      </w:tr>
      <w:tr w:rsidR="000B5092" w14:paraId="25492643" w14:textId="77777777" w:rsidTr="00C17D52">
        <w:tc>
          <w:tcPr>
            <w:tcW w:w="3963" w:type="dxa"/>
            <w:vAlign w:val="center"/>
          </w:tcPr>
          <w:p w14:paraId="15BBFEB0" w14:textId="77777777" w:rsidR="0014663C" w:rsidRDefault="00BC2F61" w:rsidP="0014663C">
            <w:pPr>
              <w:spacing w:line="360" w:lineRule="auto"/>
              <w:jc w:val="center"/>
              <w:rPr>
                <w:sz w:val="24"/>
                <w:szCs w:val="24"/>
              </w:rPr>
            </w:pPr>
            <w:r>
              <w:rPr>
                <w:sz w:val="24"/>
                <w:szCs w:val="24"/>
              </w:rPr>
              <w:t>Indonesia</w:t>
            </w:r>
          </w:p>
        </w:tc>
        <w:tc>
          <w:tcPr>
            <w:tcW w:w="3964" w:type="dxa"/>
            <w:vAlign w:val="center"/>
          </w:tcPr>
          <w:p w14:paraId="68266DA4" w14:textId="77777777" w:rsidR="0014663C" w:rsidRDefault="00BC2F61" w:rsidP="0014663C">
            <w:pPr>
              <w:spacing w:line="360" w:lineRule="auto"/>
              <w:jc w:val="center"/>
              <w:rPr>
                <w:sz w:val="24"/>
                <w:szCs w:val="24"/>
              </w:rPr>
            </w:pPr>
            <w:r>
              <w:rPr>
                <w:sz w:val="24"/>
                <w:szCs w:val="24"/>
              </w:rPr>
              <w:t>Bank Muamalat Indonesia</w:t>
            </w:r>
          </w:p>
        </w:tc>
      </w:tr>
      <w:tr w:rsidR="000B5092" w14:paraId="7E6D3BE0" w14:textId="77777777" w:rsidTr="00C17D52">
        <w:tc>
          <w:tcPr>
            <w:tcW w:w="3963" w:type="dxa"/>
            <w:vAlign w:val="center"/>
          </w:tcPr>
          <w:p w14:paraId="024DB195" w14:textId="77777777" w:rsidR="0014663C" w:rsidRDefault="00BC2F61" w:rsidP="0014663C">
            <w:pPr>
              <w:spacing w:line="360" w:lineRule="auto"/>
              <w:jc w:val="center"/>
              <w:rPr>
                <w:sz w:val="24"/>
                <w:szCs w:val="24"/>
              </w:rPr>
            </w:pPr>
            <w:r>
              <w:rPr>
                <w:sz w:val="24"/>
                <w:szCs w:val="24"/>
              </w:rPr>
              <w:t>UAE</w:t>
            </w:r>
          </w:p>
        </w:tc>
        <w:tc>
          <w:tcPr>
            <w:tcW w:w="3964" w:type="dxa"/>
            <w:vAlign w:val="center"/>
          </w:tcPr>
          <w:p w14:paraId="79A2616A" w14:textId="77777777" w:rsidR="0014663C" w:rsidRDefault="00BC2F61" w:rsidP="0014663C">
            <w:pPr>
              <w:spacing w:line="360" w:lineRule="auto"/>
              <w:jc w:val="center"/>
              <w:rPr>
                <w:sz w:val="24"/>
                <w:szCs w:val="24"/>
              </w:rPr>
            </w:pPr>
            <w:r>
              <w:rPr>
                <w:sz w:val="24"/>
                <w:szCs w:val="24"/>
              </w:rPr>
              <w:t>Dubai Islamic Banking</w:t>
            </w:r>
          </w:p>
          <w:p w14:paraId="658019DE" w14:textId="77777777" w:rsidR="0014663C" w:rsidRDefault="00BC2F61" w:rsidP="0014663C">
            <w:pPr>
              <w:spacing w:line="360" w:lineRule="auto"/>
              <w:jc w:val="center"/>
              <w:rPr>
                <w:sz w:val="24"/>
                <w:szCs w:val="24"/>
              </w:rPr>
            </w:pPr>
            <w:r w:rsidRPr="00B25D5B">
              <w:rPr>
                <w:sz w:val="24"/>
                <w:szCs w:val="24"/>
              </w:rPr>
              <w:t>Emirates Islamic Bank</w:t>
            </w:r>
          </w:p>
        </w:tc>
      </w:tr>
      <w:tr w:rsidR="000B5092" w14:paraId="5BF8BB7E" w14:textId="77777777" w:rsidTr="00C17D52">
        <w:tc>
          <w:tcPr>
            <w:tcW w:w="3963" w:type="dxa"/>
            <w:vAlign w:val="center"/>
          </w:tcPr>
          <w:p w14:paraId="3F9F0599" w14:textId="77777777" w:rsidR="0014663C" w:rsidRDefault="00BC2F61" w:rsidP="0014663C">
            <w:pPr>
              <w:spacing w:line="360" w:lineRule="auto"/>
              <w:jc w:val="center"/>
              <w:rPr>
                <w:sz w:val="24"/>
                <w:szCs w:val="24"/>
              </w:rPr>
            </w:pPr>
            <w:r>
              <w:rPr>
                <w:sz w:val="24"/>
                <w:szCs w:val="24"/>
              </w:rPr>
              <w:t>Oman</w:t>
            </w:r>
          </w:p>
        </w:tc>
        <w:tc>
          <w:tcPr>
            <w:tcW w:w="3964" w:type="dxa"/>
            <w:vAlign w:val="center"/>
          </w:tcPr>
          <w:p w14:paraId="52A696EC" w14:textId="77777777" w:rsidR="0014663C" w:rsidRDefault="00BC2F61" w:rsidP="0014663C">
            <w:pPr>
              <w:spacing w:line="360" w:lineRule="auto"/>
              <w:jc w:val="center"/>
              <w:rPr>
                <w:sz w:val="24"/>
                <w:szCs w:val="24"/>
              </w:rPr>
            </w:pPr>
            <w:r>
              <w:rPr>
                <w:sz w:val="24"/>
                <w:szCs w:val="24"/>
              </w:rPr>
              <w:t>Bank Nizwa</w:t>
            </w:r>
          </w:p>
        </w:tc>
      </w:tr>
      <w:tr w:rsidR="000B5092" w14:paraId="00995F7E" w14:textId="77777777" w:rsidTr="00C17D52">
        <w:tc>
          <w:tcPr>
            <w:tcW w:w="3963" w:type="dxa"/>
            <w:vAlign w:val="center"/>
          </w:tcPr>
          <w:p w14:paraId="703DAFDB" w14:textId="77777777" w:rsidR="0014663C" w:rsidRDefault="00BC2F61" w:rsidP="0014663C">
            <w:pPr>
              <w:spacing w:line="360" w:lineRule="auto"/>
              <w:jc w:val="center"/>
              <w:rPr>
                <w:sz w:val="24"/>
                <w:szCs w:val="24"/>
              </w:rPr>
            </w:pPr>
            <w:r>
              <w:rPr>
                <w:sz w:val="24"/>
                <w:szCs w:val="24"/>
              </w:rPr>
              <w:t>Bahrain</w:t>
            </w:r>
          </w:p>
        </w:tc>
        <w:tc>
          <w:tcPr>
            <w:tcW w:w="3964" w:type="dxa"/>
            <w:vAlign w:val="center"/>
          </w:tcPr>
          <w:p w14:paraId="099051A8" w14:textId="77777777" w:rsidR="0014663C" w:rsidRDefault="00BC2F61" w:rsidP="0014663C">
            <w:pPr>
              <w:spacing w:line="360" w:lineRule="auto"/>
              <w:jc w:val="center"/>
              <w:rPr>
                <w:sz w:val="24"/>
                <w:szCs w:val="24"/>
              </w:rPr>
            </w:pPr>
            <w:r>
              <w:rPr>
                <w:sz w:val="24"/>
                <w:szCs w:val="24"/>
              </w:rPr>
              <w:t>Al Salam Bank</w:t>
            </w:r>
          </w:p>
        </w:tc>
      </w:tr>
      <w:tr w:rsidR="000B5092" w14:paraId="2F6A8B4E" w14:textId="77777777" w:rsidTr="00C17D52">
        <w:tc>
          <w:tcPr>
            <w:tcW w:w="3963" w:type="dxa"/>
            <w:vAlign w:val="center"/>
          </w:tcPr>
          <w:p w14:paraId="16F126DD" w14:textId="77777777" w:rsidR="0014663C" w:rsidRDefault="00BC2F61" w:rsidP="0014663C">
            <w:pPr>
              <w:spacing w:line="360" w:lineRule="auto"/>
              <w:jc w:val="center"/>
              <w:rPr>
                <w:sz w:val="24"/>
                <w:szCs w:val="24"/>
              </w:rPr>
            </w:pPr>
            <w:r>
              <w:rPr>
                <w:sz w:val="24"/>
                <w:szCs w:val="24"/>
              </w:rPr>
              <w:t>Iraq</w:t>
            </w:r>
          </w:p>
        </w:tc>
        <w:tc>
          <w:tcPr>
            <w:tcW w:w="3964" w:type="dxa"/>
            <w:vAlign w:val="center"/>
          </w:tcPr>
          <w:p w14:paraId="3C6CA7B4" w14:textId="77777777" w:rsidR="0014663C" w:rsidRDefault="00BC2F61" w:rsidP="0014663C">
            <w:pPr>
              <w:spacing w:line="360" w:lineRule="auto"/>
              <w:jc w:val="center"/>
              <w:rPr>
                <w:sz w:val="24"/>
                <w:szCs w:val="24"/>
              </w:rPr>
            </w:pPr>
            <w:r>
              <w:rPr>
                <w:sz w:val="24"/>
                <w:szCs w:val="24"/>
              </w:rPr>
              <w:t>International Development Bank</w:t>
            </w:r>
          </w:p>
        </w:tc>
      </w:tr>
      <w:tr w:rsidR="000B5092" w14:paraId="0CE24131" w14:textId="77777777" w:rsidTr="00C17D52">
        <w:tc>
          <w:tcPr>
            <w:tcW w:w="3963" w:type="dxa"/>
            <w:vAlign w:val="center"/>
          </w:tcPr>
          <w:p w14:paraId="256F0881" w14:textId="77777777" w:rsidR="0014663C" w:rsidRDefault="00BC2F61" w:rsidP="0014663C">
            <w:pPr>
              <w:spacing w:line="360" w:lineRule="auto"/>
              <w:jc w:val="center"/>
              <w:rPr>
                <w:sz w:val="24"/>
                <w:szCs w:val="24"/>
              </w:rPr>
            </w:pPr>
            <w:r>
              <w:rPr>
                <w:sz w:val="24"/>
                <w:szCs w:val="24"/>
              </w:rPr>
              <w:t>IBBL</w:t>
            </w:r>
          </w:p>
        </w:tc>
        <w:tc>
          <w:tcPr>
            <w:tcW w:w="3964" w:type="dxa"/>
            <w:vAlign w:val="center"/>
          </w:tcPr>
          <w:p w14:paraId="2FA5F62F" w14:textId="77777777" w:rsidR="0014663C" w:rsidRDefault="00BC2F61" w:rsidP="0014663C">
            <w:pPr>
              <w:spacing w:line="360" w:lineRule="auto"/>
              <w:jc w:val="center"/>
              <w:rPr>
                <w:sz w:val="24"/>
                <w:szCs w:val="24"/>
              </w:rPr>
            </w:pPr>
            <w:r>
              <w:rPr>
                <w:sz w:val="24"/>
                <w:szCs w:val="24"/>
              </w:rPr>
              <w:t>Bangladesh</w:t>
            </w:r>
          </w:p>
        </w:tc>
      </w:tr>
      <w:tr w:rsidR="000B5092" w14:paraId="2DE22582" w14:textId="77777777" w:rsidTr="00C17D52">
        <w:tc>
          <w:tcPr>
            <w:tcW w:w="3963" w:type="dxa"/>
            <w:vAlign w:val="center"/>
          </w:tcPr>
          <w:p w14:paraId="5EEBBFA7" w14:textId="77777777" w:rsidR="0014663C" w:rsidRDefault="00BC2F61" w:rsidP="0014663C">
            <w:pPr>
              <w:spacing w:line="360" w:lineRule="auto"/>
              <w:jc w:val="center"/>
              <w:rPr>
                <w:sz w:val="24"/>
                <w:szCs w:val="24"/>
              </w:rPr>
            </w:pPr>
            <w:r>
              <w:rPr>
                <w:sz w:val="24"/>
                <w:szCs w:val="24"/>
              </w:rPr>
              <w:t>Turki</w:t>
            </w:r>
          </w:p>
        </w:tc>
        <w:tc>
          <w:tcPr>
            <w:tcW w:w="3964" w:type="dxa"/>
            <w:vAlign w:val="center"/>
          </w:tcPr>
          <w:p w14:paraId="1524551E" w14:textId="77777777" w:rsidR="0014663C" w:rsidRDefault="00BC2F61" w:rsidP="0014663C">
            <w:pPr>
              <w:spacing w:line="360" w:lineRule="auto"/>
              <w:jc w:val="center"/>
              <w:rPr>
                <w:sz w:val="24"/>
                <w:szCs w:val="24"/>
              </w:rPr>
            </w:pPr>
            <w:r w:rsidRPr="00376E15">
              <w:rPr>
                <w:sz w:val="24"/>
                <w:szCs w:val="24"/>
              </w:rPr>
              <w:t>Albaraka Turk Katilim Bankasi</w:t>
            </w:r>
          </w:p>
        </w:tc>
      </w:tr>
      <w:bookmarkEnd w:id="1"/>
    </w:tbl>
    <w:p w14:paraId="57C5BC40" w14:textId="77777777" w:rsidR="0014663C" w:rsidRPr="0014663C" w:rsidRDefault="0014663C" w:rsidP="0014663C">
      <w:pPr>
        <w:jc w:val="center"/>
        <w:rPr>
          <w:sz w:val="24"/>
        </w:rPr>
      </w:pPr>
    </w:p>
    <w:p w14:paraId="57D3BCCA" w14:textId="77777777" w:rsidR="0014663C" w:rsidRDefault="00BC2F61" w:rsidP="0014663C">
      <w:pPr>
        <w:contextualSpacing/>
        <w:rPr>
          <w:b/>
          <w:sz w:val="24"/>
          <w:szCs w:val="24"/>
        </w:rPr>
      </w:pPr>
      <w:r>
        <w:rPr>
          <w:b/>
          <w:sz w:val="24"/>
          <w:szCs w:val="24"/>
        </w:rPr>
        <w:t>D</w:t>
      </w:r>
      <w:r w:rsidRPr="00A57485">
        <w:rPr>
          <w:b/>
          <w:sz w:val="24"/>
          <w:szCs w:val="24"/>
        </w:rPr>
        <w:t xml:space="preserve">ata and </w:t>
      </w:r>
      <w:r>
        <w:rPr>
          <w:b/>
          <w:sz w:val="24"/>
          <w:szCs w:val="24"/>
        </w:rPr>
        <w:t>D</w:t>
      </w:r>
      <w:r w:rsidRPr="00A57485">
        <w:rPr>
          <w:b/>
          <w:sz w:val="24"/>
          <w:szCs w:val="24"/>
        </w:rPr>
        <w:t xml:space="preserve">ata </w:t>
      </w:r>
      <w:r>
        <w:rPr>
          <w:b/>
          <w:sz w:val="24"/>
          <w:szCs w:val="24"/>
        </w:rPr>
        <w:t>T</w:t>
      </w:r>
      <w:r w:rsidRPr="00A57485">
        <w:rPr>
          <w:b/>
          <w:sz w:val="24"/>
          <w:szCs w:val="24"/>
        </w:rPr>
        <w:t>ypes</w:t>
      </w:r>
    </w:p>
    <w:p w14:paraId="70FE6D8B" w14:textId="53CB1BA8" w:rsidR="0014663C" w:rsidRDefault="00BC2F61" w:rsidP="0014663C">
      <w:pPr>
        <w:ind w:firstLine="567"/>
        <w:contextualSpacing/>
        <w:jc w:val="both"/>
        <w:rPr>
          <w:sz w:val="24"/>
          <w:szCs w:val="24"/>
        </w:rPr>
      </w:pPr>
      <w:r w:rsidRPr="00137397">
        <w:rPr>
          <w:sz w:val="24"/>
          <w:szCs w:val="24"/>
        </w:rPr>
        <w:t xml:space="preserve">Data refers to raw information that needs to be processed to have value for the recipient. It can be presented in various forms, such as numbers, letters, or symbols, and serves as the </w:t>
      </w:r>
      <w:r w:rsidR="00DD5BC2">
        <w:rPr>
          <w:sz w:val="24"/>
          <w:szCs w:val="24"/>
        </w:rPr>
        <w:t>essential</w:t>
      </w:r>
      <w:r w:rsidRPr="00137397">
        <w:rPr>
          <w:sz w:val="24"/>
          <w:szCs w:val="24"/>
        </w:rPr>
        <w:t xml:space="preserve"> element to represent specific contexts, objects, or events</w:t>
      </w:r>
      <w:r>
        <w:rPr>
          <w:sz w:val="24"/>
          <w:szCs w:val="24"/>
        </w:rPr>
        <w:t xml:space="preserve"> </w:t>
      </w:r>
      <w:r w:rsidR="00166A88" w:rsidRPr="00166A88">
        <w:rPr>
          <w:sz w:val="24"/>
          <w:szCs w:val="24"/>
          <w:lang w:val="en-US"/>
        </w:rPr>
        <w:fldChar w:fldCharType="begin" w:fldLock="1"/>
      </w:r>
      <w:r w:rsidR="00166A88" w:rsidRPr="00166A88">
        <w:rPr>
          <w:sz w:val="24"/>
          <w:szCs w:val="24"/>
          <w:lang w:val="en-US"/>
        </w:rPr>
        <w:instrText>ADDIN CSL_CITATION {"citationItems":[{"id":"ITEM-1","itemData":{"ISBN":"602180645X","author":[{"dropping-particle":"","family":"Romdhoni","given":"Ali","non-dropping-particle":"","parse-names":false,"suffix":""}],"id":"ITEM-1","issued":{"date-parts":[["2019"]]},"publisher":"Literatur Nusantara","title":"Semiotik Metodologi Penelitian","type":"book"},"uris":["http://www.mendeley.com/documents/?uuid=b7735c6e-7a42-4c96-b846-85a7dc348373","http://www.mendeley.com/documents/?uuid=0a3e1f8d-8535-4be8-a5e8-9046a6fbd208"]}],"mendeley":{"formattedCitation":"(Romdhoni, 2019)","plainTextFormattedCitation":"(Romdhoni, 2019)","previouslyFormattedCitation":"(Romdhoni, 2019)"},"properties":{"noteIndex":0},"schema":"https://github.com/citation-style-language/schema/raw/master/csl-citation.json"}</w:instrText>
      </w:r>
      <w:r w:rsidR="00166A88" w:rsidRPr="00166A88">
        <w:rPr>
          <w:sz w:val="24"/>
          <w:szCs w:val="24"/>
          <w:lang w:val="en-US"/>
        </w:rPr>
        <w:fldChar w:fldCharType="separate"/>
      </w:r>
      <w:r w:rsidR="00166A88" w:rsidRPr="00166A88">
        <w:rPr>
          <w:noProof/>
          <w:sz w:val="24"/>
          <w:szCs w:val="24"/>
          <w:lang w:val="en-US"/>
        </w:rPr>
        <w:t>(Romdhoni, 2019)</w:t>
      </w:r>
      <w:r w:rsidR="00166A88" w:rsidRPr="00166A88">
        <w:rPr>
          <w:sz w:val="24"/>
          <w:szCs w:val="24"/>
        </w:rPr>
        <w:fldChar w:fldCharType="end"/>
      </w:r>
      <w:r w:rsidR="00166A88" w:rsidRPr="00166A88">
        <w:rPr>
          <w:sz w:val="24"/>
          <w:szCs w:val="24"/>
        </w:rPr>
        <w:t xml:space="preserve">. </w:t>
      </w:r>
      <w:r w:rsidRPr="00137397">
        <w:rPr>
          <w:sz w:val="24"/>
          <w:szCs w:val="24"/>
        </w:rPr>
        <w:t>This study uses panel data, which is a combination of time series and cross-sectional data collected annually from 2017 to 2023. The data used is secondary data obtained from previously available sources</w:t>
      </w:r>
      <w:r w:rsidR="00166A88" w:rsidRPr="00166A88">
        <w:rPr>
          <w:sz w:val="24"/>
          <w:szCs w:val="24"/>
        </w:rPr>
        <w:t xml:space="preserve"> </w:t>
      </w:r>
      <w:r w:rsidR="00166A88" w:rsidRPr="00166A88">
        <w:rPr>
          <w:sz w:val="24"/>
          <w:szCs w:val="24"/>
          <w:lang w:val="en-US"/>
        </w:rPr>
        <w:fldChar w:fldCharType="begin" w:fldLock="1"/>
      </w:r>
      <w:r w:rsidR="00166A88" w:rsidRPr="00166A88">
        <w:rPr>
          <w:sz w:val="24"/>
          <w:szCs w:val="24"/>
          <w:lang w:val="en-US"/>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2011)","author":[{"dropping-particle":"","family":"Sugiyono","given":"Sugiyono","non-dropping-particle":"","parse-names":false,"suffix":""}],"container-title":"ALFABETA","id":"ITEM-1","issued":{"date-parts":[["2017"]]},"title":"Metode Penelitian Kuantitatif, Kualitatif Dan R &amp; D","type":"article-journal"},"uris":["http://www.mendeley.com/documents/?uuid=d0269968-96f0-42b0-a874-a69acfc5706a","http://www.mendeley.com/documents/?uuid=6fdd22da-aa76-4d3d-ab3e-d5612c2ea954"]}],"mendeley":{"formattedCitation":"(Sugiyono, 2017)","plainTextFormattedCitation":"(Sugiyono, 2017)","previouslyFormattedCitation":"(Sugiyono, 2017)"},"properties":{"noteIndex":0},"schema":"https://github.com/citation-style-language/schema/raw/master/csl-citation.json"}</w:instrText>
      </w:r>
      <w:r w:rsidR="00166A88" w:rsidRPr="00166A88">
        <w:rPr>
          <w:sz w:val="24"/>
          <w:szCs w:val="24"/>
          <w:lang w:val="en-US"/>
        </w:rPr>
        <w:fldChar w:fldCharType="separate"/>
      </w:r>
      <w:r w:rsidR="00166A88" w:rsidRPr="00166A88">
        <w:rPr>
          <w:noProof/>
          <w:sz w:val="24"/>
          <w:szCs w:val="24"/>
          <w:lang w:val="en-US"/>
        </w:rPr>
        <w:t>(Sugiyono, 2017)</w:t>
      </w:r>
      <w:r w:rsidR="00166A88" w:rsidRPr="00166A88">
        <w:rPr>
          <w:sz w:val="24"/>
          <w:szCs w:val="24"/>
        </w:rPr>
        <w:fldChar w:fldCharType="end"/>
      </w:r>
      <w:r w:rsidR="00166A88" w:rsidRPr="00166A88">
        <w:rPr>
          <w:sz w:val="24"/>
          <w:szCs w:val="24"/>
        </w:rPr>
        <w:t xml:space="preserve">. </w:t>
      </w:r>
      <w:r w:rsidRPr="00137397">
        <w:rPr>
          <w:sz w:val="24"/>
          <w:szCs w:val="24"/>
        </w:rPr>
        <w:t>In this case, the researcher utilizes financial reports published by Islamic banks on their websites to support further analysis and research</w:t>
      </w:r>
      <w:r w:rsidR="00166A88" w:rsidRPr="00166A88">
        <w:rPr>
          <w:sz w:val="24"/>
          <w:szCs w:val="24"/>
        </w:rPr>
        <w:t>.</w:t>
      </w:r>
    </w:p>
    <w:p w14:paraId="6BBD575E" w14:textId="77777777" w:rsidR="00166A88" w:rsidRDefault="00166A88" w:rsidP="00166A88">
      <w:pPr>
        <w:contextualSpacing/>
        <w:jc w:val="both"/>
        <w:rPr>
          <w:sz w:val="24"/>
          <w:szCs w:val="24"/>
        </w:rPr>
      </w:pPr>
    </w:p>
    <w:p w14:paraId="59CDA450" w14:textId="77777777" w:rsidR="00166A88" w:rsidRDefault="00BC2F61" w:rsidP="00166A88">
      <w:pPr>
        <w:contextualSpacing/>
        <w:jc w:val="both"/>
        <w:rPr>
          <w:b/>
          <w:bCs/>
          <w:sz w:val="24"/>
          <w:szCs w:val="24"/>
        </w:rPr>
      </w:pPr>
      <w:r w:rsidRPr="007C1B52">
        <w:rPr>
          <w:b/>
          <w:bCs/>
          <w:sz w:val="24"/>
          <w:szCs w:val="24"/>
        </w:rPr>
        <w:t>Definition of Operational Variables</w:t>
      </w:r>
    </w:p>
    <w:p w14:paraId="412571F2" w14:textId="77777777" w:rsidR="00166A88" w:rsidRPr="00461C8E" w:rsidRDefault="00BC2F61" w:rsidP="00166A88">
      <w:pPr>
        <w:ind w:firstLine="720"/>
        <w:jc w:val="both"/>
        <w:rPr>
          <w:sz w:val="24"/>
          <w:szCs w:val="24"/>
        </w:rPr>
      </w:pPr>
      <w:r w:rsidRPr="00137397">
        <w:rPr>
          <w:sz w:val="24"/>
          <w:szCs w:val="24"/>
        </w:rPr>
        <w:t>In this study, the factors influencing the profitability of Islamic banks (Y) are Size, Third-Party Funds, and Dividend Policy. Through regression analysis of each independent variable and its associated variable, the impact of each factor on profitability will be examined</w:t>
      </w:r>
      <w:r w:rsidRPr="00461C8E">
        <w:rPr>
          <w:sz w:val="24"/>
          <w:szCs w:val="24"/>
        </w:rPr>
        <w:t>.</w:t>
      </w:r>
    </w:p>
    <w:p w14:paraId="5491256F" w14:textId="77777777" w:rsidR="00166A88" w:rsidRDefault="00166A88" w:rsidP="00166A88">
      <w:pPr>
        <w:contextualSpacing/>
        <w:jc w:val="both"/>
        <w:rPr>
          <w:sz w:val="24"/>
          <w:szCs w:val="24"/>
        </w:rPr>
      </w:pPr>
    </w:p>
    <w:p w14:paraId="5F55E8F7" w14:textId="77777777" w:rsidR="00137397" w:rsidRDefault="00137397" w:rsidP="00166A88">
      <w:pPr>
        <w:contextualSpacing/>
        <w:jc w:val="both"/>
        <w:rPr>
          <w:sz w:val="24"/>
          <w:szCs w:val="24"/>
        </w:rPr>
      </w:pPr>
    </w:p>
    <w:p w14:paraId="7DD73D2B" w14:textId="77777777" w:rsidR="00137397" w:rsidRPr="00166A88" w:rsidRDefault="00137397" w:rsidP="00166A88">
      <w:pPr>
        <w:contextualSpacing/>
        <w:jc w:val="both"/>
        <w:rPr>
          <w:sz w:val="24"/>
          <w:szCs w:val="24"/>
        </w:rPr>
      </w:pPr>
    </w:p>
    <w:p w14:paraId="45529AF9" w14:textId="77777777" w:rsidR="0014663C" w:rsidRDefault="00BC2F61" w:rsidP="00166A88">
      <w:pPr>
        <w:contextualSpacing/>
        <w:jc w:val="center"/>
        <w:rPr>
          <w:bCs/>
          <w:sz w:val="24"/>
          <w:szCs w:val="24"/>
        </w:rPr>
      </w:pPr>
      <w:r w:rsidRPr="00166A88">
        <w:rPr>
          <w:b/>
          <w:sz w:val="24"/>
          <w:szCs w:val="24"/>
        </w:rPr>
        <w:lastRenderedPageBreak/>
        <w:t>Ta</w:t>
      </w:r>
      <w:r w:rsidR="00137397">
        <w:rPr>
          <w:b/>
          <w:sz w:val="24"/>
          <w:szCs w:val="24"/>
        </w:rPr>
        <w:t>ble</w:t>
      </w:r>
      <w:r w:rsidRPr="00166A88">
        <w:rPr>
          <w:b/>
          <w:sz w:val="24"/>
          <w:szCs w:val="24"/>
        </w:rPr>
        <w:t xml:space="preserve"> 3.</w:t>
      </w:r>
      <w:r>
        <w:rPr>
          <w:b/>
          <w:sz w:val="24"/>
          <w:szCs w:val="24"/>
        </w:rPr>
        <w:t xml:space="preserve"> </w:t>
      </w:r>
      <w:r w:rsidR="00137397" w:rsidRPr="00137397">
        <w:rPr>
          <w:bCs/>
          <w:sz w:val="24"/>
          <w:szCs w:val="24"/>
        </w:rPr>
        <w:t>Operational Definition of Variables</w:t>
      </w:r>
    </w:p>
    <w:tbl>
      <w:tblPr>
        <w:tblStyle w:val="TableGrid"/>
        <w:tblW w:w="793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15"/>
        <w:gridCol w:w="2159"/>
        <w:gridCol w:w="2317"/>
        <w:gridCol w:w="1842"/>
      </w:tblGrid>
      <w:tr w:rsidR="000B5092" w14:paraId="1A5F9B87" w14:textId="77777777" w:rsidTr="00C17D52">
        <w:tc>
          <w:tcPr>
            <w:tcW w:w="1615" w:type="dxa"/>
          </w:tcPr>
          <w:p w14:paraId="0D102225" w14:textId="77777777" w:rsidR="00166A88" w:rsidRDefault="00BC2F61" w:rsidP="00166A88">
            <w:pPr>
              <w:contextualSpacing/>
              <w:jc w:val="center"/>
              <w:rPr>
                <w:bCs/>
                <w:sz w:val="24"/>
                <w:szCs w:val="24"/>
              </w:rPr>
            </w:pPr>
            <w:r>
              <w:rPr>
                <w:b/>
                <w:bCs/>
                <w:sz w:val="24"/>
                <w:szCs w:val="24"/>
              </w:rPr>
              <w:t>Variables</w:t>
            </w:r>
          </w:p>
        </w:tc>
        <w:tc>
          <w:tcPr>
            <w:tcW w:w="2159" w:type="dxa"/>
          </w:tcPr>
          <w:p w14:paraId="3EFA9732" w14:textId="77777777" w:rsidR="00166A88" w:rsidRDefault="00BC2F61" w:rsidP="00166A88">
            <w:pPr>
              <w:contextualSpacing/>
              <w:jc w:val="center"/>
              <w:rPr>
                <w:bCs/>
                <w:sz w:val="24"/>
                <w:szCs w:val="24"/>
              </w:rPr>
            </w:pPr>
            <w:r w:rsidRPr="00137397">
              <w:rPr>
                <w:b/>
                <w:bCs/>
                <w:sz w:val="24"/>
                <w:szCs w:val="24"/>
              </w:rPr>
              <w:t>Operational Definition</w:t>
            </w:r>
          </w:p>
        </w:tc>
        <w:tc>
          <w:tcPr>
            <w:tcW w:w="2317" w:type="dxa"/>
            <w:vAlign w:val="center"/>
          </w:tcPr>
          <w:p w14:paraId="2E872405" w14:textId="77777777" w:rsidR="00166A88" w:rsidRDefault="00BC2F61" w:rsidP="00166A88">
            <w:pPr>
              <w:contextualSpacing/>
              <w:jc w:val="center"/>
              <w:rPr>
                <w:bCs/>
                <w:sz w:val="24"/>
                <w:szCs w:val="24"/>
              </w:rPr>
            </w:pPr>
            <w:r w:rsidRPr="00137397">
              <w:rPr>
                <w:b/>
                <w:bCs/>
                <w:sz w:val="24"/>
                <w:szCs w:val="24"/>
              </w:rPr>
              <w:t>Calculation Formula</w:t>
            </w:r>
          </w:p>
        </w:tc>
        <w:tc>
          <w:tcPr>
            <w:tcW w:w="1842" w:type="dxa"/>
            <w:vAlign w:val="center"/>
          </w:tcPr>
          <w:p w14:paraId="117D98E7" w14:textId="77777777" w:rsidR="00166A88" w:rsidRDefault="00BC2F61" w:rsidP="00166A88">
            <w:pPr>
              <w:contextualSpacing/>
              <w:jc w:val="center"/>
              <w:rPr>
                <w:bCs/>
                <w:sz w:val="24"/>
                <w:szCs w:val="24"/>
              </w:rPr>
            </w:pPr>
            <w:r w:rsidRPr="00137397">
              <w:rPr>
                <w:b/>
                <w:bCs/>
                <w:sz w:val="24"/>
                <w:szCs w:val="24"/>
              </w:rPr>
              <w:t>Data types</w:t>
            </w:r>
          </w:p>
        </w:tc>
      </w:tr>
      <w:tr w:rsidR="000B5092" w14:paraId="690592DD" w14:textId="77777777" w:rsidTr="00C17D52">
        <w:tc>
          <w:tcPr>
            <w:tcW w:w="1615" w:type="dxa"/>
            <w:vAlign w:val="center"/>
          </w:tcPr>
          <w:p w14:paraId="60DE5A11" w14:textId="77777777" w:rsidR="00166A88" w:rsidRDefault="00BC2F61" w:rsidP="00166A88">
            <w:pPr>
              <w:contextualSpacing/>
              <w:rPr>
                <w:bCs/>
                <w:sz w:val="24"/>
                <w:szCs w:val="24"/>
              </w:rPr>
            </w:pPr>
            <w:r w:rsidRPr="00461C8E">
              <w:rPr>
                <w:sz w:val="24"/>
                <w:szCs w:val="24"/>
              </w:rPr>
              <w:t>Return on Asset (Y)</w:t>
            </w:r>
          </w:p>
        </w:tc>
        <w:tc>
          <w:tcPr>
            <w:tcW w:w="2159" w:type="dxa"/>
          </w:tcPr>
          <w:p w14:paraId="4D3217B7" w14:textId="77777777" w:rsidR="00166A88" w:rsidRPr="00137397" w:rsidRDefault="00BC2F61" w:rsidP="00166A88">
            <w:pPr>
              <w:contextualSpacing/>
              <w:rPr>
                <w:sz w:val="24"/>
                <w:szCs w:val="24"/>
                <w:lang w:val="en-ID"/>
              </w:rPr>
            </w:pPr>
            <w:r w:rsidRPr="00137397">
              <w:rPr>
                <w:sz w:val="24"/>
                <w:szCs w:val="24"/>
                <w:lang w:val="en"/>
              </w:rPr>
              <w:t>This ratio reflects the bank's efficiency in generating profits from its assets, illustrating the extent to which Islamic banks can utilize their assets to generate net profits</w:t>
            </w:r>
            <w:r>
              <w:rPr>
                <w:sz w:val="24"/>
                <w:szCs w:val="24"/>
              </w:rPr>
              <w:t xml:space="preserve"> </w:t>
            </w:r>
            <w:r>
              <w:rPr>
                <w:sz w:val="24"/>
                <w:szCs w:val="24"/>
              </w:rPr>
              <w:fldChar w:fldCharType="begin" w:fldLock="1"/>
            </w:r>
            <w:r w:rsidR="00B73410">
              <w:rPr>
                <w:sz w:val="24"/>
                <w:szCs w:val="24"/>
              </w:rPr>
              <w:instrText>ADDIN CSL_CITATION {"citationItems":[{"id":"ITEM-1","itemData":{"ISSN":"2721-3048","author":[{"dropping-particle":"","family":"Yuliana","given":"Intan Rika","non-dropping-particle":"","parse-names":false,"suffix":""},{"dropping-particle":"","family":"Listari","given":"Sinta","non-dropping-particle":"","parse-names":false,"suffix":""}],"container-title":"Jurnal Ilmiah Akuntansi Kesatuan","id":"ITEM-1","issue":"2","issued":{"date-parts":[["2021"]]},"page":"309-334","title":"Pengaruh CAR, FDR, Dan BOPO Terhadap ROA Pada Bank Syariah Di Indonesia","type":"article-journal","volume":"9"},"uris":["http://www.mendeley.com/documents/?uuid=2af48c68-3c65-4ef5-981f-d5f06bbc51a0"]}],"mendeley":{"formattedCitation":"(Yuliana and Listari, 2021)","plainTextFormattedCitation":"(Yuliana and Listari, 2021)","previouslyFormattedCitation":"(Yuliana and Listari, 2021)"},"properties":{"noteIndex":0},"schema":"https://github.com/citation-style-language/schema/raw/master/csl-citation.json"}</w:instrText>
            </w:r>
            <w:r>
              <w:rPr>
                <w:sz w:val="24"/>
                <w:szCs w:val="24"/>
              </w:rPr>
              <w:fldChar w:fldCharType="separate"/>
            </w:r>
            <w:r w:rsidR="00445FA1" w:rsidRPr="00445FA1">
              <w:rPr>
                <w:noProof/>
                <w:sz w:val="24"/>
                <w:szCs w:val="24"/>
              </w:rPr>
              <w:t>(Yuliana &amp; Listari, 2021)</w:t>
            </w:r>
            <w:r>
              <w:rPr>
                <w:sz w:val="24"/>
                <w:szCs w:val="24"/>
              </w:rPr>
              <w:fldChar w:fldCharType="end"/>
            </w:r>
          </w:p>
        </w:tc>
        <w:tc>
          <w:tcPr>
            <w:tcW w:w="2317" w:type="dxa"/>
            <w:vAlign w:val="center"/>
          </w:tcPr>
          <w:p w14:paraId="15C4A3A5" w14:textId="77777777" w:rsidR="00166A88" w:rsidRDefault="00BC2F61" w:rsidP="00166A88">
            <w:pPr>
              <w:contextualSpacing/>
              <w:jc w:val="center"/>
              <w:rPr>
                <w:bCs/>
                <w:sz w:val="24"/>
                <w:szCs w:val="24"/>
              </w:rPr>
            </w:pPr>
            <w:r w:rsidRPr="00461C8E">
              <w:rPr>
                <w:rStyle w:val="mord"/>
                <w:sz w:val="24"/>
              </w:rPr>
              <w:t>ROA</w:t>
            </w:r>
            <w:r>
              <w:rPr>
                <w:rStyle w:val="mord"/>
                <w:sz w:val="24"/>
              </w:rPr>
              <w:t xml:space="preserve"> </w:t>
            </w:r>
            <w:r w:rsidRPr="00461C8E">
              <w:rPr>
                <w:rStyle w:val="mrel"/>
                <w:sz w:val="24"/>
              </w:rPr>
              <w:t>=</w:t>
            </w:r>
            <w:r>
              <w:rPr>
                <w:rStyle w:val="mrel"/>
                <w:sz w:val="24"/>
              </w:rPr>
              <w:t xml:space="preserve"> </w:t>
            </w:r>
            <w:r w:rsidR="007C1B52" w:rsidRPr="007C1B52">
              <w:rPr>
                <w:rStyle w:val="mord"/>
                <w:sz w:val="24"/>
              </w:rPr>
              <w:t>Total Assets / Net Profit</w:t>
            </w:r>
            <w:r w:rsidRPr="00461C8E">
              <w:rPr>
                <w:rStyle w:val="vlist-s"/>
                <w:sz w:val="24"/>
              </w:rPr>
              <w:t>​</w:t>
            </w:r>
            <w:r>
              <w:rPr>
                <w:rStyle w:val="vlist-s"/>
                <w:sz w:val="24"/>
              </w:rPr>
              <w:t xml:space="preserve"> </w:t>
            </w:r>
            <w:r w:rsidRPr="00461C8E">
              <w:rPr>
                <w:rStyle w:val="mbin"/>
                <w:sz w:val="24"/>
              </w:rPr>
              <w:t>×</w:t>
            </w:r>
            <w:r w:rsidRPr="00461C8E">
              <w:rPr>
                <w:rStyle w:val="mord"/>
                <w:sz w:val="24"/>
              </w:rPr>
              <w:t>100%</w:t>
            </w:r>
          </w:p>
        </w:tc>
        <w:tc>
          <w:tcPr>
            <w:tcW w:w="1842" w:type="dxa"/>
            <w:vAlign w:val="center"/>
          </w:tcPr>
          <w:p w14:paraId="33C6B474" w14:textId="77777777" w:rsidR="00166A88" w:rsidRPr="007C1B52" w:rsidRDefault="00BC2F61" w:rsidP="00166A88">
            <w:pPr>
              <w:contextualSpacing/>
              <w:jc w:val="center"/>
              <w:rPr>
                <w:sz w:val="24"/>
                <w:szCs w:val="24"/>
              </w:rPr>
            </w:pPr>
            <w:r w:rsidRPr="007C1B52">
              <w:rPr>
                <w:sz w:val="24"/>
                <w:szCs w:val="24"/>
              </w:rPr>
              <w:t>Ra</w:t>
            </w:r>
            <w:r w:rsidR="00137397" w:rsidRPr="007C1B52">
              <w:rPr>
                <w:sz w:val="24"/>
                <w:szCs w:val="24"/>
              </w:rPr>
              <w:t>t</w:t>
            </w:r>
            <w:r w:rsidRPr="007C1B52">
              <w:rPr>
                <w:sz w:val="24"/>
                <w:szCs w:val="24"/>
              </w:rPr>
              <w:t>io</w:t>
            </w:r>
          </w:p>
        </w:tc>
      </w:tr>
      <w:tr w:rsidR="000B5092" w14:paraId="32BFA7C0" w14:textId="77777777" w:rsidTr="00C17D52">
        <w:tc>
          <w:tcPr>
            <w:tcW w:w="1615" w:type="dxa"/>
            <w:vAlign w:val="center"/>
          </w:tcPr>
          <w:p w14:paraId="15E0287E" w14:textId="77777777" w:rsidR="00166A88" w:rsidRDefault="00BC2F61" w:rsidP="00166A88">
            <w:pPr>
              <w:contextualSpacing/>
              <w:rPr>
                <w:bCs/>
                <w:sz w:val="24"/>
                <w:szCs w:val="24"/>
              </w:rPr>
            </w:pPr>
            <w:r>
              <w:rPr>
                <w:sz w:val="24"/>
                <w:szCs w:val="24"/>
              </w:rPr>
              <w:t>Bank Size</w:t>
            </w:r>
            <w:r w:rsidRPr="00461C8E">
              <w:rPr>
                <w:sz w:val="24"/>
                <w:szCs w:val="24"/>
              </w:rPr>
              <w:t xml:space="preserve"> (X</w:t>
            </w:r>
            <w:r w:rsidRPr="00166A88">
              <w:rPr>
                <w:sz w:val="24"/>
                <w:szCs w:val="24"/>
                <w:vertAlign w:val="subscript"/>
              </w:rPr>
              <w:t>1</w:t>
            </w:r>
            <w:r w:rsidRPr="00461C8E">
              <w:rPr>
                <w:sz w:val="24"/>
                <w:szCs w:val="24"/>
              </w:rPr>
              <w:t>)</w:t>
            </w:r>
          </w:p>
        </w:tc>
        <w:tc>
          <w:tcPr>
            <w:tcW w:w="2159" w:type="dxa"/>
          </w:tcPr>
          <w:p w14:paraId="537E1515" w14:textId="77777777" w:rsidR="00166A88" w:rsidRDefault="00BC2F61" w:rsidP="00166A88">
            <w:pPr>
              <w:contextualSpacing/>
              <w:rPr>
                <w:bCs/>
                <w:sz w:val="24"/>
                <w:szCs w:val="24"/>
              </w:rPr>
            </w:pPr>
            <w:r w:rsidRPr="00137397">
              <w:rPr>
                <w:sz w:val="24"/>
                <w:szCs w:val="24"/>
              </w:rPr>
              <w:t>Bank size is measured based on the total assets owned by Islamic banks. Total assets reflect the bank's operational scale and its ability to influence the market, as well as its capacity to carry out business activities</w:t>
            </w:r>
            <w:r>
              <w:rPr>
                <w:sz w:val="24"/>
                <w:szCs w:val="24"/>
              </w:rPr>
              <w:t xml:space="preserve"> </w:t>
            </w:r>
            <w:r>
              <w:rPr>
                <w:sz w:val="24"/>
                <w:szCs w:val="24"/>
              </w:rPr>
              <w:fldChar w:fldCharType="begin" w:fldLock="1"/>
            </w:r>
            <w:r w:rsidR="00B73410">
              <w:rPr>
                <w:sz w:val="24"/>
                <w:szCs w:val="24"/>
              </w:rPr>
              <w:instrText>ADDIN CSL_CITATION {"citationItems":[{"id":"ITEM-1","itemData":{"DOI":"10.35313/ijem.v2i2.3692","abstract":"Maqashid sharia is the direction of Islamic bank activities in obtaining profit. This topic is interesting to be researched because profitability in Islamic perspective is a material and immaterial benefit obtained in the world and the hereafter. This study aims to explore the effect of Islamic maqashid index and company size on profitability of Sharia Common Banks in Indonesia in the 2014-2018 period. The research method used explanatory causality with multiple regression analysis using WarpPLS 6.0 program. The data used are secondary data from 12 samples of Sharia Common Banks in Indonesia. The results of this study indicate that the maqashid sharia index also the company size has a positive significant effect on profitability. The greater maqashid index and size of a sharia commercial bank will be able to increase the profitability of sharia banks which reflects companies that adhere to sharia maqashid compliance and optimal in gaining profits.","author":[{"dropping-particle":"","family":"Belianti","given":"Leviana","non-dropping-particle":"","parse-names":false,"suffix":""},{"dropping-particle":"","family":"Ruhadi","given":"Ruhadi","non-dropping-particle":"","parse-names":false,"suffix":""},{"dropping-particle":"","family":"Setiawan","given":"Setiawan","non-dropping-particle":"","parse-names":false,"suffix":""}],"container-title":"Indonesian Journal of Economics and Management","id":"ITEM-1","issue":"2","issued":{"date-parts":[["2022"]]},"page":"441-451","title":"Pengaruh Indeks Maqashid Syariah dan Ukuran Perusahaan terhadap Profitabilitas","type":"article-journal","volume":"2"},"uris":["http://www.mendeley.com/documents/?uuid=662c5041-ff0c-4811-8fd4-3b8dcd0eacc9","http://www.mendeley.com/documents/?uuid=90b3241d-34d1-48a9-a0b2-bea5dd4807c8"]}],"mendeley":{"formattedCitation":"(Belianti, Ruhadi, and Setiawan, 2022)","plainTextFormattedCitation":"(Belianti, Ruhadi, and Setiawan, 2022)","previouslyFormattedCitation":"(Belianti, Ruhadi, and Setiawan, 2022)"},"properties":{"noteIndex":0},"schema":"https://github.com/citation-style-language/schema/raw/master/csl-citation.json"}</w:instrText>
            </w:r>
            <w:r>
              <w:rPr>
                <w:sz w:val="24"/>
                <w:szCs w:val="24"/>
              </w:rPr>
              <w:fldChar w:fldCharType="separate"/>
            </w:r>
            <w:r w:rsidR="00445FA1" w:rsidRPr="00445FA1">
              <w:rPr>
                <w:noProof/>
                <w:sz w:val="24"/>
                <w:szCs w:val="24"/>
              </w:rPr>
              <w:t>(Belianti et al., 2022)</w:t>
            </w:r>
            <w:r>
              <w:rPr>
                <w:sz w:val="24"/>
                <w:szCs w:val="24"/>
              </w:rPr>
              <w:fldChar w:fldCharType="end"/>
            </w:r>
          </w:p>
        </w:tc>
        <w:tc>
          <w:tcPr>
            <w:tcW w:w="2317" w:type="dxa"/>
            <w:vAlign w:val="center"/>
          </w:tcPr>
          <w:p w14:paraId="26FBA005" w14:textId="77777777" w:rsidR="00166A88" w:rsidRDefault="00BC2F61" w:rsidP="00166A88">
            <w:pPr>
              <w:contextualSpacing/>
              <w:jc w:val="center"/>
              <w:rPr>
                <w:bCs/>
                <w:sz w:val="24"/>
                <w:szCs w:val="24"/>
              </w:rPr>
            </w:pPr>
            <w:r w:rsidRPr="007C1B52">
              <w:rPr>
                <w:rStyle w:val="mord"/>
                <w:sz w:val="24"/>
                <w:szCs w:val="24"/>
                <w:lang w:val="en-ID" w:eastAsia="en-ID"/>
              </w:rPr>
              <w:t>Bank Size = log (Total Assets)</w:t>
            </w:r>
          </w:p>
        </w:tc>
        <w:tc>
          <w:tcPr>
            <w:tcW w:w="1842" w:type="dxa"/>
            <w:vAlign w:val="center"/>
          </w:tcPr>
          <w:p w14:paraId="1E36AE0B" w14:textId="77777777" w:rsidR="00166A88" w:rsidRPr="00137397" w:rsidRDefault="00BC2F61" w:rsidP="00166A88">
            <w:pPr>
              <w:contextualSpacing/>
              <w:jc w:val="center"/>
              <w:rPr>
                <w:sz w:val="24"/>
                <w:szCs w:val="24"/>
              </w:rPr>
            </w:pPr>
            <w:r w:rsidRPr="00137397">
              <w:rPr>
                <w:sz w:val="24"/>
                <w:szCs w:val="24"/>
              </w:rPr>
              <w:t>Nominal</w:t>
            </w:r>
          </w:p>
        </w:tc>
      </w:tr>
      <w:tr w:rsidR="000B5092" w14:paraId="0486DD50" w14:textId="77777777" w:rsidTr="007C1B52">
        <w:tc>
          <w:tcPr>
            <w:tcW w:w="1615" w:type="dxa"/>
            <w:vAlign w:val="center"/>
          </w:tcPr>
          <w:p w14:paraId="7D933CB9" w14:textId="77777777" w:rsidR="00166A88" w:rsidRDefault="00BC2F61" w:rsidP="007C1B52">
            <w:pPr>
              <w:contextualSpacing/>
              <w:rPr>
                <w:bCs/>
                <w:sz w:val="24"/>
                <w:szCs w:val="24"/>
              </w:rPr>
            </w:pPr>
            <w:r w:rsidRPr="00137397">
              <w:rPr>
                <w:sz w:val="24"/>
                <w:szCs w:val="24"/>
                <w:lang w:val="en-ID"/>
              </w:rPr>
              <w:t xml:space="preserve">Third-Party Funds </w:t>
            </w:r>
            <w:r w:rsidRPr="00461C8E">
              <w:rPr>
                <w:sz w:val="24"/>
                <w:szCs w:val="24"/>
              </w:rPr>
              <w:t>(X</w:t>
            </w:r>
            <w:r w:rsidRPr="00166A88">
              <w:rPr>
                <w:sz w:val="24"/>
                <w:szCs w:val="24"/>
                <w:vertAlign w:val="subscript"/>
              </w:rPr>
              <w:t>2</w:t>
            </w:r>
            <w:r w:rsidRPr="00461C8E">
              <w:rPr>
                <w:sz w:val="24"/>
                <w:szCs w:val="24"/>
              </w:rPr>
              <w:t>)</w:t>
            </w:r>
          </w:p>
        </w:tc>
        <w:tc>
          <w:tcPr>
            <w:tcW w:w="2159" w:type="dxa"/>
          </w:tcPr>
          <w:p w14:paraId="148D8C75" w14:textId="77777777" w:rsidR="00137397" w:rsidRPr="00137397" w:rsidRDefault="00BC2F61" w:rsidP="00137397">
            <w:pPr>
              <w:contextualSpacing/>
              <w:rPr>
                <w:sz w:val="24"/>
                <w:szCs w:val="24"/>
                <w:lang w:val="en-ID"/>
              </w:rPr>
            </w:pPr>
            <w:r w:rsidRPr="00137397">
              <w:rPr>
                <w:sz w:val="24"/>
                <w:szCs w:val="24"/>
                <w:lang w:val="en-ID"/>
              </w:rPr>
              <w:t>Third-party funds</w:t>
            </w:r>
            <w:r>
              <w:rPr>
                <w:sz w:val="24"/>
                <w:szCs w:val="24"/>
                <w:lang w:val="en-ID"/>
              </w:rPr>
              <w:t xml:space="preserve"> </w:t>
            </w:r>
            <w:r w:rsidRPr="00137397">
              <w:rPr>
                <w:sz w:val="24"/>
                <w:szCs w:val="24"/>
                <w:lang w:val="en-ID"/>
              </w:rPr>
              <w:t>reflect the amount of liquidity available to Islamic banks and serve as an important indicator in assessing the bank's ability to meet funding needs and expand its operations.</w:t>
            </w:r>
          </w:p>
          <w:p w14:paraId="155212BD" w14:textId="77777777" w:rsidR="00166A88" w:rsidRDefault="00BC2F61" w:rsidP="00166A88">
            <w:pPr>
              <w:contextualSpacing/>
              <w:rPr>
                <w:bCs/>
                <w:sz w:val="24"/>
                <w:szCs w:val="24"/>
              </w:rPr>
            </w:pPr>
            <w:r>
              <w:rPr>
                <w:sz w:val="24"/>
                <w:szCs w:val="24"/>
              </w:rPr>
              <w:fldChar w:fldCharType="begin" w:fldLock="1"/>
            </w:r>
            <w:r w:rsidR="00445FA1">
              <w:rPr>
                <w:sz w:val="24"/>
                <w:szCs w:val="24"/>
              </w:rPr>
              <w:instrText>ADDIN CSL_CITATION {"citationItems":[{"id":"ITEM-1","itemData":{"DOI":"10.33059/jensi.v5i2.3995","ISSN":"2615-1227","abstract":"Penelitian ini bertujuan untuk menganalisis pengaruh equivalent rate, inflasi dan likuiditas terhadap dana pihak ketiga pada perbankan syariah di Indonesia periode 2015-2019. Populasi penelitian adalah laporan keuangan perbankan syariah dengan periode bulanan dari tahun 2015-2019. Dengan teknik sampling jenuh ditentukan jumlah sampel sebanyak 60 bulan. Teknik pengumpulan data yang digunakan adalah studi dokumentasi yaitu laporan keuangan perbankan syariah di Indonesia yang dipublikasikan oleh Otoritas Jasa Keuangan dan Bank Indonesia. Pengolahan data dilakukan dengan analisis regresi berganda dengan bantuan aplikasi SPSS. Temuan penelitian yaitu equivalent rate berpengaruh terhadap dana pihak ketiga, inflasi tidak berpengaruh terhadap dana pihak ketiga dan  Likuiditas berpengaruh terhadap dana pihak ketiga","author":[{"dropping-particle":"","family":"Budi Gautama Siregar","given":"","non-dropping-particle":"","parse-names":false,"suffix":""}],"container-title":"Jurnal Penelitian Ekonomi Akuntansi (JENSI)","id":"ITEM-1","issue":"2","issued":{"date-parts":[["2021"]]},"page":"111-121","title":"Dana Pihak Ketiga Pada Perbankan Syariah Di Indonesia","type":"article-journal","volume":"5"},"uris":["http://www.mendeley.com/documents/?uuid=2795744a-c001-4ad7-b943-1699bbfb9b26","http://www.mendeley.com/documents/?uuid=78d6ba5a-2421-499f-a173-607185199315"]}],"mendeley":{"formattedCitation":"(Budi Gautama Siregar, 2021)","plainTextFormattedCitation":"(Budi Gautama Siregar, 2021)","previouslyFormattedCitation":"(Budi Gautama Siregar, 2021)"},"properties":{"noteIndex":0},"schema":"https://github.com/citation-style-language/schema/raw/master/csl-citation.json"}</w:instrText>
            </w:r>
            <w:r>
              <w:rPr>
                <w:sz w:val="24"/>
                <w:szCs w:val="24"/>
              </w:rPr>
              <w:fldChar w:fldCharType="separate"/>
            </w:r>
            <w:r w:rsidRPr="0067652B">
              <w:rPr>
                <w:noProof/>
                <w:sz w:val="24"/>
                <w:szCs w:val="24"/>
              </w:rPr>
              <w:t>(Budi Gautama Siregar, 2021)</w:t>
            </w:r>
            <w:r>
              <w:rPr>
                <w:sz w:val="24"/>
                <w:szCs w:val="24"/>
              </w:rPr>
              <w:fldChar w:fldCharType="end"/>
            </w:r>
            <w:r>
              <w:rPr>
                <w:sz w:val="24"/>
                <w:szCs w:val="24"/>
              </w:rPr>
              <w:t>.</w:t>
            </w:r>
          </w:p>
        </w:tc>
        <w:tc>
          <w:tcPr>
            <w:tcW w:w="2317" w:type="dxa"/>
            <w:vAlign w:val="center"/>
          </w:tcPr>
          <w:p w14:paraId="08A592E9" w14:textId="77777777" w:rsidR="00166A88" w:rsidRDefault="00BC2F61" w:rsidP="00166A88">
            <w:pPr>
              <w:contextualSpacing/>
              <w:jc w:val="center"/>
              <w:rPr>
                <w:bCs/>
                <w:sz w:val="24"/>
                <w:szCs w:val="24"/>
              </w:rPr>
            </w:pPr>
            <w:r w:rsidRPr="007C1B52">
              <w:rPr>
                <w:rStyle w:val="mord"/>
              </w:rPr>
              <w:t xml:space="preserve">DPK = Savings + </w:t>
            </w:r>
            <w:r>
              <w:rPr>
                <w:rStyle w:val="mord"/>
              </w:rPr>
              <w:t>Giro</w:t>
            </w:r>
            <w:r w:rsidRPr="007C1B52">
              <w:rPr>
                <w:rStyle w:val="mord"/>
              </w:rPr>
              <w:t xml:space="preserve"> + Deposits</w:t>
            </w:r>
          </w:p>
        </w:tc>
        <w:tc>
          <w:tcPr>
            <w:tcW w:w="1842" w:type="dxa"/>
            <w:vAlign w:val="center"/>
          </w:tcPr>
          <w:p w14:paraId="5301BB9A" w14:textId="77777777" w:rsidR="00166A88" w:rsidRDefault="00BC2F61" w:rsidP="00166A88">
            <w:pPr>
              <w:contextualSpacing/>
              <w:jc w:val="center"/>
              <w:rPr>
                <w:bCs/>
                <w:sz w:val="24"/>
                <w:szCs w:val="24"/>
              </w:rPr>
            </w:pPr>
            <w:r>
              <w:rPr>
                <w:sz w:val="24"/>
                <w:szCs w:val="24"/>
              </w:rPr>
              <w:t>Nominal</w:t>
            </w:r>
          </w:p>
        </w:tc>
      </w:tr>
      <w:tr w:rsidR="000B5092" w14:paraId="2CC3CB6F" w14:textId="77777777" w:rsidTr="00C17D52">
        <w:tc>
          <w:tcPr>
            <w:tcW w:w="1615" w:type="dxa"/>
            <w:vAlign w:val="center"/>
          </w:tcPr>
          <w:p w14:paraId="44E4FBC9" w14:textId="77777777" w:rsidR="00166A88" w:rsidRPr="00137397" w:rsidRDefault="00BC2F61" w:rsidP="00166A88">
            <w:pPr>
              <w:contextualSpacing/>
              <w:rPr>
                <w:sz w:val="24"/>
                <w:szCs w:val="24"/>
                <w:lang w:val="en-ID"/>
              </w:rPr>
            </w:pPr>
            <w:r w:rsidRPr="00137397">
              <w:rPr>
                <w:sz w:val="24"/>
                <w:szCs w:val="24"/>
                <w:lang w:val="en"/>
              </w:rPr>
              <w:t>Dividend policy</w:t>
            </w:r>
            <w:r>
              <w:rPr>
                <w:sz w:val="24"/>
                <w:szCs w:val="24"/>
                <w:lang w:val="en-ID"/>
              </w:rPr>
              <w:t xml:space="preserve"> </w:t>
            </w:r>
            <w:r w:rsidRPr="00461C8E">
              <w:rPr>
                <w:sz w:val="24"/>
                <w:szCs w:val="24"/>
              </w:rPr>
              <w:t>(X</w:t>
            </w:r>
            <w:r w:rsidRPr="00166A88">
              <w:rPr>
                <w:sz w:val="24"/>
                <w:szCs w:val="24"/>
                <w:vertAlign w:val="subscript"/>
              </w:rPr>
              <w:t>3</w:t>
            </w:r>
            <w:r w:rsidRPr="00461C8E">
              <w:rPr>
                <w:sz w:val="24"/>
                <w:szCs w:val="24"/>
              </w:rPr>
              <w:t>)</w:t>
            </w:r>
          </w:p>
        </w:tc>
        <w:tc>
          <w:tcPr>
            <w:tcW w:w="2159" w:type="dxa"/>
          </w:tcPr>
          <w:p w14:paraId="1F9C30ED" w14:textId="77777777" w:rsidR="00166A88" w:rsidRDefault="00BC2F61" w:rsidP="00166A88">
            <w:pPr>
              <w:contextualSpacing/>
              <w:rPr>
                <w:bCs/>
                <w:sz w:val="24"/>
                <w:szCs w:val="24"/>
              </w:rPr>
            </w:pPr>
            <w:r w:rsidRPr="00137397">
              <w:rPr>
                <w:sz w:val="24"/>
                <w:szCs w:val="24"/>
              </w:rPr>
              <w:t xml:space="preserve">This ratio shows the extent to which Islamic banks distribute profits to shareholders and </w:t>
            </w:r>
            <w:r w:rsidRPr="00137397">
              <w:rPr>
                <w:sz w:val="24"/>
                <w:szCs w:val="24"/>
              </w:rPr>
              <w:lastRenderedPageBreak/>
              <w:t>managerial policies related to profit distribution</w:t>
            </w:r>
            <w:r>
              <w:rPr>
                <w:sz w:val="24"/>
                <w:szCs w:val="24"/>
              </w:rPr>
              <w:t xml:space="preserve"> </w:t>
            </w:r>
            <w:r>
              <w:rPr>
                <w:sz w:val="24"/>
                <w:szCs w:val="24"/>
              </w:rPr>
              <w:fldChar w:fldCharType="begin" w:fldLock="1"/>
            </w:r>
            <w:r w:rsidR="00B73410">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approach.","author":[{"dropping-particle":"","family":"Agustini","given":"Sabrina Yesi","non-dropping-particle":"","parse-names":false,"suffix":""},{"dropping-particle":"","family":"Fuadati","given":"Siti Rokhimi","non-dropping-particle":"","parse-names":false,"suffix":""}],"container-title":"Journal of Chemical Information and Modeling","id":"ITEM-1","issue":"9","issued":{"date-parts":[["2018"]]},"page":"1689-1699","title":"Pengaruh Rasio Keuangan Terhadap Kebijakan Dividen","type":"article-journal","volume":"53"},"uris":["http://www.mendeley.com/documents/?uuid=60b6fe36-3435-47d1-9796-71c5f2a13d0d","http://www.mendeley.com/documents/?uuid=e6946599-2f01-4980-bde4-053de750eb33"]}],"mendeley":{"formattedCitation":"(Agustini and Fuadati, 2018)","plainTextFormattedCitation":"(Agustini and Fuadati, 2018)","previouslyFormattedCitation":"(Agustini and Fuadati, 2018)"},"properties":{"noteIndex":0},"schema":"https://github.com/citation-style-language/schema/raw/master/csl-citation.json"}</w:instrText>
            </w:r>
            <w:r>
              <w:rPr>
                <w:sz w:val="24"/>
                <w:szCs w:val="24"/>
              </w:rPr>
              <w:fldChar w:fldCharType="separate"/>
            </w:r>
            <w:r w:rsidR="00445FA1" w:rsidRPr="00445FA1">
              <w:rPr>
                <w:noProof/>
                <w:sz w:val="24"/>
                <w:szCs w:val="24"/>
              </w:rPr>
              <w:t>(Agustini &amp; Fuadati, 2018)</w:t>
            </w:r>
            <w:r>
              <w:rPr>
                <w:sz w:val="24"/>
                <w:szCs w:val="24"/>
              </w:rPr>
              <w:fldChar w:fldCharType="end"/>
            </w:r>
            <w:r w:rsidRPr="00461C8E">
              <w:rPr>
                <w:sz w:val="24"/>
                <w:szCs w:val="24"/>
              </w:rPr>
              <w:t>.</w:t>
            </w:r>
          </w:p>
        </w:tc>
        <w:tc>
          <w:tcPr>
            <w:tcW w:w="2317" w:type="dxa"/>
            <w:vAlign w:val="center"/>
          </w:tcPr>
          <w:p w14:paraId="460DC4F2" w14:textId="77777777" w:rsidR="00166A88" w:rsidRDefault="00BC2F61" w:rsidP="00166A88">
            <w:pPr>
              <w:contextualSpacing/>
              <w:jc w:val="center"/>
              <w:rPr>
                <w:bCs/>
                <w:sz w:val="24"/>
                <w:szCs w:val="24"/>
              </w:rPr>
            </w:pPr>
            <w:r w:rsidRPr="00461C8E">
              <w:rPr>
                <w:rStyle w:val="mord"/>
              </w:rPr>
              <w:lastRenderedPageBreak/>
              <w:t>Dividend Payout Ratio (DPR)</w:t>
            </w:r>
            <w:r>
              <w:rPr>
                <w:rStyle w:val="mord"/>
              </w:rPr>
              <w:t xml:space="preserve"> </w:t>
            </w:r>
            <w:r w:rsidRPr="00461C8E">
              <w:rPr>
                <w:rStyle w:val="mrel"/>
              </w:rPr>
              <w:t>=</w:t>
            </w:r>
            <w:r>
              <w:rPr>
                <w:rStyle w:val="mrel"/>
              </w:rPr>
              <w:t xml:space="preserve"> (</w:t>
            </w:r>
            <w:r w:rsidRPr="00461C8E">
              <w:rPr>
                <w:rStyle w:val="mord"/>
              </w:rPr>
              <w:t>Laba Bersih</w:t>
            </w:r>
            <w:r>
              <w:rPr>
                <w:rStyle w:val="mord"/>
              </w:rPr>
              <w:t xml:space="preserve"> / </w:t>
            </w:r>
            <w:r w:rsidRPr="00461C8E">
              <w:rPr>
                <w:rStyle w:val="mord"/>
              </w:rPr>
              <w:t>Dividen Kas</w:t>
            </w:r>
            <w:r>
              <w:rPr>
                <w:rStyle w:val="mord"/>
              </w:rPr>
              <w:t xml:space="preserve">) </w:t>
            </w:r>
            <w:r w:rsidRPr="00461C8E">
              <w:rPr>
                <w:rStyle w:val="vlist-s"/>
              </w:rPr>
              <w:t>​</w:t>
            </w:r>
            <w:r w:rsidRPr="00461C8E">
              <w:rPr>
                <w:rStyle w:val="mbin"/>
              </w:rPr>
              <w:t>×</w:t>
            </w:r>
            <w:r>
              <w:rPr>
                <w:rStyle w:val="mbin"/>
              </w:rPr>
              <w:t xml:space="preserve"> </w:t>
            </w:r>
            <w:r w:rsidRPr="00461C8E">
              <w:rPr>
                <w:rStyle w:val="mord"/>
              </w:rPr>
              <w:t>100%</w:t>
            </w:r>
          </w:p>
        </w:tc>
        <w:tc>
          <w:tcPr>
            <w:tcW w:w="1842" w:type="dxa"/>
            <w:vAlign w:val="center"/>
          </w:tcPr>
          <w:p w14:paraId="19495162" w14:textId="77777777" w:rsidR="00166A88" w:rsidRDefault="00BC2F61" w:rsidP="00166A88">
            <w:pPr>
              <w:contextualSpacing/>
              <w:jc w:val="center"/>
              <w:rPr>
                <w:bCs/>
                <w:sz w:val="24"/>
                <w:szCs w:val="24"/>
              </w:rPr>
            </w:pPr>
            <w:r>
              <w:rPr>
                <w:sz w:val="24"/>
                <w:szCs w:val="24"/>
              </w:rPr>
              <w:t>Ra</w:t>
            </w:r>
            <w:r w:rsidR="00137397">
              <w:rPr>
                <w:sz w:val="24"/>
                <w:szCs w:val="24"/>
              </w:rPr>
              <w:t>t</w:t>
            </w:r>
            <w:r>
              <w:rPr>
                <w:sz w:val="24"/>
                <w:szCs w:val="24"/>
              </w:rPr>
              <w:t>io</w:t>
            </w:r>
          </w:p>
        </w:tc>
      </w:tr>
    </w:tbl>
    <w:p w14:paraId="6E6028F4" w14:textId="77777777" w:rsidR="00166A88" w:rsidRDefault="00166A88" w:rsidP="00166A88">
      <w:pPr>
        <w:contextualSpacing/>
        <w:jc w:val="center"/>
        <w:rPr>
          <w:bCs/>
          <w:sz w:val="24"/>
          <w:szCs w:val="24"/>
        </w:rPr>
      </w:pPr>
    </w:p>
    <w:p w14:paraId="7A100B5A" w14:textId="77777777" w:rsidR="00166A88" w:rsidRDefault="00BC2F61" w:rsidP="00445FA1">
      <w:pPr>
        <w:contextualSpacing/>
        <w:rPr>
          <w:b/>
          <w:sz w:val="24"/>
          <w:szCs w:val="24"/>
        </w:rPr>
      </w:pPr>
      <w:r w:rsidRPr="007C1B52">
        <w:rPr>
          <w:b/>
          <w:sz w:val="24"/>
          <w:szCs w:val="24"/>
        </w:rPr>
        <w:t>Data Analysis Techniques</w:t>
      </w:r>
    </w:p>
    <w:p w14:paraId="54907F7E" w14:textId="77777777" w:rsidR="00445FA1" w:rsidRDefault="00BC2F61" w:rsidP="00445FA1">
      <w:pPr>
        <w:ind w:firstLine="567"/>
        <w:contextualSpacing/>
        <w:jc w:val="both"/>
        <w:rPr>
          <w:bCs/>
          <w:sz w:val="24"/>
          <w:szCs w:val="24"/>
        </w:rPr>
      </w:pPr>
      <w:r w:rsidRPr="00137397">
        <w:rPr>
          <w:bCs/>
          <w:sz w:val="24"/>
          <w:szCs w:val="24"/>
        </w:rPr>
        <w:t>Statistical data processing plays a crucial role in research, as the results serve as the foundation for conclusions. Before concluding the findings, data analysis is required to ensure optimal accuracy. Therefore, this study utilizes the REVIEWS 10 software for statistical data processing. The analysis method applied is multiple linear regression with a panel data approach</w:t>
      </w:r>
      <w:r w:rsidRPr="00445FA1">
        <w:rPr>
          <w:bCs/>
          <w:sz w:val="24"/>
          <w:szCs w:val="24"/>
        </w:rPr>
        <w:t>.</w:t>
      </w:r>
    </w:p>
    <w:p w14:paraId="4677F218" w14:textId="31F0E0A9" w:rsidR="00445FA1" w:rsidRPr="00445FA1" w:rsidRDefault="00BC2F61" w:rsidP="00445FA1">
      <w:pPr>
        <w:ind w:firstLine="567"/>
        <w:contextualSpacing/>
        <w:jc w:val="both"/>
        <w:rPr>
          <w:bCs/>
          <w:sz w:val="24"/>
          <w:szCs w:val="24"/>
        </w:rPr>
      </w:pPr>
      <w:r w:rsidRPr="00137397">
        <w:rPr>
          <w:bCs/>
          <w:sz w:val="24"/>
          <w:szCs w:val="24"/>
        </w:rPr>
        <w:t>Panel data is a combination of time-series data and cross-sectional data</w:t>
      </w:r>
      <w:r>
        <w:rPr>
          <w:bCs/>
          <w:sz w:val="24"/>
          <w:szCs w:val="24"/>
        </w:rPr>
        <w:t xml:space="preserve"> </w:t>
      </w:r>
      <w:r>
        <w:rPr>
          <w:bCs/>
          <w:sz w:val="24"/>
          <w:szCs w:val="24"/>
        </w:rPr>
        <w:fldChar w:fldCharType="begin" w:fldLock="1"/>
      </w:r>
      <w:r w:rsidR="00B73410">
        <w:rPr>
          <w:bCs/>
          <w:sz w:val="24"/>
          <w:szCs w:val="24"/>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2011)","author":[{"dropping-particle":"","family":"Sugiyono","given":"Sugiyono","non-dropping-particle":"","parse-names":false,"suffix":""}],"container-title":"ALFABETA","id":"ITEM-1","issued":{"date-parts":[["2017"]]},"title":"Metode Penelitian Kuantitatif, Kualitatif Dan R &amp; D","type":"article-journal"},"uris":["http://www.mendeley.com/documents/?uuid=d0269968-96f0-42b0-a874-a69acfc5706a"]}],"mendeley":{"formattedCitation":"(Sugiyono, 2017)","plainTextFormattedCitation":"(Sugiyono, 2017)","previouslyFormattedCitation":"(Sugiyono, 2017)"},"properties":{"noteIndex":0},"schema":"https://github.com/citation-style-language/schema/raw/master/csl-citation.json"}</w:instrText>
      </w:r>
      <w:r>
        <w:rPr>
          <w:bCs/>
          <w:sz w:val="24"/>
          <w:szCs w:val="24"/>
        </w:rPr>
        <w:fldChar w:fldCharType="separate"/>
      </w:r>
      <w:r w:rsidRPr="00445FA1">
        <w:rPr>
          <w:bCs/>
          <w:noProof/>
          <w:sz w:val="24"/>
          <w:szCs w:val="24"/>
        </w:rPr>
        <w:t>(Sugiyono, 2017)</w:t>
      </w:r>
      <w:r>
        <w:rPr>
          <w:bCs/>
          <w:sz w:val="24"/>
          <w:szCs w:val="24"/>
        </w:rPr>
        <w:fldChar w:fldCharType="end"/>
      </w:r>
      <w:r w:rsidRPr="00445FA1">
        <w:rPr>
          <w:bCs/>
          <w:sz w:val="24"/>
          <w:szCs w:val="24"/>
        </w:rPr>
        <w:t xml:space="preserve">. </w:t>
      </w:r>
      <w:r w:rsidRPr="00137397">
        <w:rPr>
          <w:bCs/>
          <w:sz w:val="24"/>
          <w:szCs w:val="24"/>
        </w:rPr>
        <w:t>There are two types of panel data: a balanced panel, where each individual has the same number of time units, and an unbalanced panel, where the number of time units varies between individuals. This study uses a balanced panel, as each individual (company) has a consistent number of time units throughout the observation period.</w:t>
      </w:r>
    </w:p>
    <w:p w14:paraId="028F5D16" w14:textId="77777777" w:rsidR="00445FA1" w:rsidRDefault="00445FA1" w:rsidP="008D2463">
      <w:pPr>
        <w:contextualSpacing/>
        <w:jc w:val="both"/>
        <w:rPr>
          <w:b/>
          <w:sz w:val="28"/>
          <w:szCs w:val="28"/>
        </w:rPr>
      </w:pPr>
    </w:p>
    <w:p w14:paraId="50F2CAB7" w14:textId="77777777" w:rsidR="008D2463" w:rsidRDefault="00BC2F61" w:rsidP="008D2463">
      <w:pPr>
        <w:contextualSpacing/>
        <w:jc w:val="both"/>
        <w:rPr>
          <w:b/>
          <w:sz w:val="28"/>
          <w:szCs w:val="28"/>
        </w:rPr>
      </w:pPr>
      <w:r>
        <w:rPr>
          <w:b/>
          <w:sz w:val="28"/>
          <w:szCs w:val="28"/>
        </w:rPr>
        <w:t>Result</w:t>
      </w:r>
      <w:r w:rsidR="00636C67">
        <w:rPr>
          <w:b/>
          <w:sz w:val="28"/>
          <w:szCs w:val="28"/>
        </w:rPr>
        <w:t xml:space="preserve"> </w:t>
      </w:r>
      <w:r>
        <w:rPr>
          <w:b/>
          <w:sz w:val="28"/>
          <w:szCs w:val="28"/>
        </w:rPr>
        <w:t>and</w:t>
      </w:r>
      <w:r w:rsidR="00636C67">
        <w:rPr>
          <w:b/>
          <w:sz w:val="28"/>
          <w:szCs w:val="28"/>
        </w:rPr>
        <w:t xml:space="preserve"> </w:t>
      </w:r>
      <w:r>
        <w:rPr>
          <w:b/>
          <w:sz w:val="28"/>
          <w:szCs w:val="28"/>
        </w:rPr>
        <w:t>Discussion</w:t>
      </w:r>
    </w:p>
    <w:p w14:paraId="0D57B164" w14:textId="77777777" w:rsidR="00137397" w:rsidRPr="00137397" w:rsidRDefault="00BC2F61" w:rsidP="00137397">
      <w:pPr>
        <w:contextualSpacing/>
        <w:jc w:val="both"/>
        <w:rPr>
          <w:b/>
          <w:bCs/>
          <w:sz w:val="24"/>
          <w:szCs w:val="24"/>
          <w:lang w:val="en-ID"/>
        </w:rPr>
      </w:pPr>
      <w:r>
        <w:rPr>
          <w:b/>
          <w:bCs/>
          <w:sz w:val="24"/>
          <w:szCs w:val="24"/>
          <w:lang w:val="en"/>
        </w:rPr>
        <w:t>D</w:t>
      </w:r>
      <w:r w:rsidRPr="00137397">
        <w:rPr>
          <w:b/>
          <w:bCs/>
          <w:sz w:val="24"/>
          <w:szCs w:val="24"/>
          <w:lang w:val="en"/>
        </w:rPr>
        <w:t xml:space="preserve">escriptive </w:t>
      </w:r>
      <w:r>
        <w:rPr>
          <w:b/>
          <w:bCs/>
          <w:sz w:val="24"/>
          <w:szCs w:val="24"/>
          <w:lang w:val="en"/>
        </w:rPr>
        <w:t>s</w:t>
      </w:r>
      <w:r w:rsidRPr="00137397">
        <w:rPr>
          <w:b/>
          <w:bCs/>
          <w:sz w:val="24"/>
          <w:szCs w:val="24"/>
          <w:lang w:val="en"/>
        </w:rPr>
        <w:t>tatistics</w:t>
      </w:r>
    </w:p>
    <w:p w14:paraId="783D0AD0" w14:textId="77777777" w:rsidR="00C17D52" w:rsidRPr="00137397" w:rsidRDefault="00BC2F61" w:rsidP="00137397">
      <w:pPr>
        <w:ind w:firstLine="567"/>
        <w:contextualSpacing/>
        <w:jc w:val="both"/>
        <w:rPr>
          <w:sz w:val="24"/>
          <w:szCs w:val="24"/>
          <w:lang w:val="en-ID"/>
        </w:rPr>
      </w:pPr>
      <w:bookmarkStart w:id="2" w:name="_Hlk184188520"/>
      <w:r w:rsidRPr="00137397">
        <w:rPr>
          <w:sz w:val="24"/>
          <w:szCs w:val="24"/>
          <w:lang w:val="en"/>
        </w:rPr>
        <w:t xml:space="preserve">Descriptive statistics </w:t>
      </w:r>
      <w:bookmarkEnd w:id="2"/>
      <w:r w:rsidRPr="00137397">
        <w:rPr>
          <w:sz w:val="24"/>
          <w:szCs w:val="24"/>
          <w:lang w:val="en"/>
        </w:rPr>
        <w:t>are general descriptions used in research as an initial basis. This research is explained in the table below</w:t>
      </w:r>
      <w:r>
        <w:rPr>
          <w:sz w:val="24"/>
          <w:szCs w:val="24"/>
        </w:rPr>
        <w:t>.</w:t>
      </w:r>
      <w:r w:rsidR="00E43FDB" w:rsidRPr="00F23B88">
        <w:rPr>
          <w:sz w:val="24"/>
          <w:szCs w:val="24"/>
        </w:rPr>
        <w:t xml:space="preserve"> </w:t>
      </w:r>
    </w:p>
    <w:p w14:paraId="58D4C453" w14:textId="77777777" w:rsidR="00C17D52" w:rsidRDefault="00C17D52" w:rsidP="001C61F9">
      <w:pPr>
        <w:ind w:firstLine="11"/>
        <w:contextualSpacing/>
        <w:jc w:val="center"/>
        <w:rPr>
          <w:b/>
          <w:sz w:val="24"/>
          <w:szCs w:val="24"/>
        </w:rPr>
      </w:pPr>
    </w:p>
    <w:p w14:paraId="757C7A3E" w14:textId="77777777" w:rsidR="008D2463" w:rsidRPr="008D2463" w:rsidRDefault="00BC2F61" w:rsidP="001C61F9">
      <w:pPr>
        <w:ind w:firstLine="11"/>
        <w:contextualSpacing/>
        <w:jc w:val="center"/>
        <w:rPr>
          <w:b/>
          <w:sz w:val="24"/>
          <w:szCs w:val="24"/>
        </w:rPr>
      </w:pPr>
      <w:r w:rsidRPr="008D2463">
        <w:rPr>
          <w:b/>
          <w:sz w:val="24"/>
          <w:szCs w:val="24"/>
        </w:rPr>
        <w:t>Tab</w:t>
      </w:r>
      <w:r w:rsidR="001C61F9">
        <w:rPr>
          <w:b/>
          <w:sz w:val="24"/>
          <w:szCs w:val="24"/>
        </w:rPr>
        <w:t>le</w:t>
      </w:r>
      <w:r w:rsidRPr="008D2463">
        <w:rPr>
          <w:b/>
          <w:sz w:val="24"/>
          <w:szCs w:val="24"/>
        </w:rPr>
        <w:t xml:space="preserve"> </w:t>
      </w:r>
      <w:r w:rsidR="00C17D52">
        <w:rPr>
          <w:b/>
          <w:sz w:val="24"/>
          <w:szCs w:val="24"/>
        </w:rPr>
        <w:t>4</w:t>
      </w:r>
      <w:r w:rsidRPr="008D2463">
        <w:rPr>
          <w:b/>
          <w:sz w:val="24"/>
          <w:szCs w:val="24"/>
        </w:rPr>
        <w:t xml:space="preserve">. </w:t>
      </w:r>
      <w:r w:rsidR="00137397" w:rsidRPr="00137397">
        <w:rPr>
          <w:bCs/>
          <w:sz w:val="24"/>
          <w:szCs w:val="24"/>
          <w:lang w:val="en"/>
        </w:rPr>
        <w:t>Descriptive statistics</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420"/>
        <w:gridCol w:w="1250"/>
        <w:gridCol w:w="1250"/>
        <w:gridCol w:w="1250"/>
        <w:gridCol w:w="1776"/>
      </w:tblGrid>
      <w:tr w:rsidR="000B5092" w14:paraId="1E450E33" w14:textId="77777777" w:rsidTr="00137397">
        <w:trPr>
          <w:trHeight w:val="220"/>
          <w:jc w:val="center"/>
        </w:trPr>
        <w:tc>
          <w:tcPr>
            <w:tcW w:w="1420" w:type="dxa"/>
            <w:vAlign w:val="bottom"/>
          </w:tcPr>
          <w:p w14:paraId="436A9169" w14:textId="77777777" w:rsidR="00C17D52" w:rsidRPr="00CE5FA5" w:rsidRDefault="00C17D52" w:rsidP="00A34EE9">
            <w:pPr>
              <w:spacing w:line="360" w:lineRule="auto"/>
              <w:jc w:val="both"/>
              <w:rPr>
                <w:sz w:val="24"/>
              </w:rPr>
            </w:pPr>
          </w:p>
        </w:tc>
        <w:tc>
          <w:tcPr>
            <w:tcW w:w="1250" w:type="dxa"/>
          </w:tcPr>
          <w:p w14:paraId="6A5950C5" w14:textId="77777777" w:rsidR="00C17D52" w:rsidRPr="00CE5FA5" w:rsidRDefault="00BC2F61" w:rsidP="00A34EE9">
            <w:pPr>
              <w:spacing w:line="360" w:lineRule="auto"/>
              <w:jc w:val="center"/>
              <w:rPr>
                <w:sz w:val="24"/>
              </w:rPr>
            </w:pPr>
            <w:r>
              <w:rPr>
                <w:sz w:val="24"/>
              </w:rPr>
              <w:t>ROA</w:t>
            </w:r>
          </w:p>
        </w:tc>
        <w:tc>
          <w:tcPr>
            <w:tcW w:w="1250" w:type="dxa"/>
          </w:tcPr>
          <w:p w14:paraId="7F7C776B" w14:textId="77777777" w:rsidR="00C17D52" w:rsidRPr="00CE5FA5" w:rsidRDefault="00BC2F61" w:rsidP="00A34EE9">
            <w:pPr>
              <w:spacing w:line="360" w:lineRule="auto"/>
              <w:jc w:val="center"/>
              <w:rPr>
                <w:sz w:val="24"/>
              </w:rPr>
            </w:pPr>
            <w:r>
              <w:rPr>
                <w:sz w:val="24"/>
              </w:rPr>
              <w:t>Size</w:t>
            </w:r>
          </w:p>
        </w:tc>
        <w:tc>
          <w:tcPr>
            <w:tcW w:w="1250" w:type="dxa"/>
          </w:tcPr>
          <w:p w14:paraId="64FE4C9D" w14:textId="77777777" w:rsidR="00C17D52" w:rsidRPr="00CE5FA5" w:rsidRDefault="00BC2F61" w:rsidP="00A34EE9">
            <w:pPr>
              <w:spacing w:line="360" w:lineRule="auto"/>
              <w:jc w:val="center"/>
              <w:rPr>
                <w:sz w:val="24"/>
              </w:rPr>
            </w:pPr>
            <w:r>
              <w:rPr>
                <w:sz w:val="24"/>
              </w:rPr>
              <w:t>DPK</w:t>
            </w:r>
          </w:p>
        </w:tc>
        <w:tc>
          <w:tcPr>
            <w:tcW w:w="1776" w:type="dxa"/>
            <w:vAlign w:val="bottom"/>
          </w:tcPr>
          <w:p w14:paraId="0ACE0FE9" w14:textId="77777777" w:rsidR="00C17D52" w:rsidRPr="00CE5FA5" w:rsidRDefault="00BC2F61" w:rsidP="00A34EE9">
            <w:pPr>
              <w:spacing w:line="360" w:lineRule="auto"/>
              <w:jc w:val="center"/>
              <w:rPr>
                <w:sz w:val="24"/>
              </w:rPr>
            </w:pPr>
            <w:r>
              <w:rPr>
                <w:sz w:val="24"/>
              </w:rPr>
              <w:t>K</w:t>
            </w:r>
            <w:r w:rsidR="00137397">
              <w:rPr>
                <w:sz w:val="24"/>
              </w:rPr>
              <w:t>D</w:t>
            </w:r>
          </w:p>
        </w:tc>
      </w:tr>
      <w:tr w:rsidR="000B5092" w14:paraId="176C9E40" w14:textId="77777777" w:rsidTr="00137397">
        <w:trPr>
          <w:trHeight w:val="220"/>
          <w:jc w:val="center"/>
        </w:trPr>
        <w:tc>
          <w:tcPr>
            <w:tcW w:w="1420" w:type="dxa"/>
            <w:vAlign w:val="bottom"/>
          </w:tcPr>
          <w:p w14:paraId="5A3E88FA" w14:textId="77777777" w:rsidR="00C17D52" w:rsidRPr="00CE5FA5" w:rsidRDefault="00BC2F61" w:rsidP="00A34EE9">
            <w:pPr>
              <w:spacing w:line="360" w:lineRule="auto"/>
              <w:jc w:val="both"/>
              <w:rPr>
                <w:sz w:val="24"/>
              </w:rPr>
            </w:pPr>
            <w:r w:rsidRPr="00CE5FA5">
              <w:rPr>
                <w:sz w:val="24"/>
              </w:rPr>
              <w:t> Mean</w:t>
            </w:r>
          </w:p>
        </w:tc>
        <w:tc>
          <w:tcPr>
            <w:tcW w:w="1250" w:type="dxa"/>
            <w:vAlign w:val="bottom"/>
          </w:tcPr>
          <w:p w14:paraId="2C19BF7B" w14:textId="77777777" w:rsidR="00C17D52" w:rsidRPr="00CE5FA5" w:rsidRDefault="00BC2F61" w:rsidP="00C17D52">
            <w:pPr>
              <w:spacing w:line="360" w:lineRule="auto"/>
              <w:jc w:val="center"/>
              <w:rPr>
                <w:sz w:val="24"/>
              </w:rPr>
            </w:pPr>
            <w:r w:rsidRPr="00CE5FA5">
              <w:rPr>
                <w:sz w:val="24"/>
              </w:rPr>
              <w:t>1.453600</w:t>
            </w:r>
          </w:p>
        </w:tc>
        <w:tc>
          <w:tcPr>
            <w:tcW w:w="1250" w:type="dxa"/>
            <w:vAlign w:val="bottom"/>
          </w:tcPr>
          <w:p w14:paraId="72D3914C" w14:textId="77777777" w:rsidR="00C17D52" w:rsidRPr="00CE5FA5" w:rsidRDefault="00BC2F61" w:rsidP="00C17D52">
            <w:pPr>
              <w:spacing w:line="360" w:lineRule="auto"/>
              <w:jc w:val="center"/>
              <w:rPr>
                <w:sz w:val="24"/>
              </w:rPr>
            </w:pPr>
            <w:r w:rsidRPr="00CE5FA5">
              <w:rPr>
                <w:sz w:val="24"/>
              </w:rPr>
              <w:t>47.54396</w:t>
            </w:r>
          </w:p>
        </w:tc>
        <w:tc>
          <w:tcPr>
            <w:tcW w:w="1250" w:type="dxa"/>
            <w:vAlign w:val="bottom"/>
          </w:tcPr>
          <w:p w14:paraId="3979F29E" w14:textId="77777777" w:rsidR="00C17D52" w:rsidRPr="00CE5FA5" w:rsidRDefault="00BC2F61" w:rsidP="00C17D52">
            <w:pPr>
              <w:spacing w:line="360" w:lineRule="auto"/>
              <w:jc w:val="center"/>
              <w:rPr>
                <w:sz w:val="24"/>
              </w:rPr>
            </w:pPr>
            <w:r w:rsidRPr="00CE5FA5">
              <w:rPr>
                <w:sz w:val="24"/>
              </w:rPr>
              <w:t>28.56313</w:t>
            </w:r>
          </w:p>
        </w:tc>
        <w:tc>
          <w:tcPr>
            <w:tcW w:w="1776" w:type="dxa"/>
            <w:vAlign w:val="bottom"/>
          </w:tcPr>
          <w:p w14:paraId="165D615B" w14:textId="77777777" w:rsidR="00C17D52" w:rsidRPr="00CE5FA5" w:rsidRDefault="00BC2F61" w:rsidP="00C17D52">
            <w:pPr>
              <w:spacing w:line="360" w:lineRule="auto"/>
              <w:jc w:val="center"/>
              <w:rPr>
                <w:sz w:val="24"/>
              </w:rPr>
            </w:pPr>
            <w:r w:rsidRPr="00CE5FA5">
              <w:rPr>
                <w:sz w:val="24"/>
              </w:rPr>
              <w:t>14.52080</w:t>
            </w:r>
          </w:p>
        </w:tc>
      </w:tr>
      <w:tr w:rsidR="000B5092" w14:paraId="4016D674" w14:textId="77777777" w:rsidTr="00137397">
        <w:trPr>
          <w:trHeight w:val="220"/>
          <w:jc w:val="center"/>
        </w:trPr>
        <w:tc>
          <w:tcPr>
            <w:tcW w:w="1420" w:type="dxa"/>
            <w:vAlign w:val="bottom"/>
          </w:tcPr>
          <w:p w14:paraId="3CFFCDF3" w14:textId="77777777" w:rsidR="00C17D52" w:rsidRPr="00CE5FA5" w:rsidRDefault="00BC2F61" w:rsidP="00A34EE9">
            <w:pPr>
              <w:spacing w:line="360" w:lineRule="auto"/>
              <w:jc w:val="both"/>
              <w:rPr>
                <w:sz w:val="24"/>
              </w:rPr>
            </w:pPr>
            <w:r w:rsidRPr="00CE5FA5">
              <w:rPr>
                <w:sz w:val="24"/>
              </w:rPr>
              <w:t> Median</w:t>
            </w:r>
          </w:p>
        </w:tc>
        <w:tc>
          <w:tcPr>
            <w:tcW w:w="1250" w:type="dxa"/>
            <w:vAlign w:val="bottom"/>
          </w:tcPr>
          <w:p w14:paraId="3C8CAECE" w14:textId="77777777" w:rsidR="00C17D52" w:rsidRPr="00CE5FA5" w:rsidRDefault="00BC2F61" w:rsidP="00C17D52">
            <w:pPr>
              <w:spacing w:line="360" w:lineRule="auto"/>
              <w:jc w:val="center"/>
              <w:rPr>
                <w:sz w:val="24"/>
              </w:rPr>
            </w:pPr>
            <w:r w:rsidRPr="00CE5FA5">
              <w:rPr>
                <w:sz w:val="24"/>
              </w:rPr>
              <w:t>1.400000</w:t>
            </w:r>
          </w:p>
        </w:tc>
        <w:tc>
          <w:tcPr>
            <w:tcW w:w="1250" w:type="dxa"/>
            <w:vAlign w:val="bottom"/>
          </w:tcPr>
          <w:p w14:paraId="7C1AF245" w14:textId="77777777" w:rsidR="00C17D52" w:rsidRPr="00CE5FA5" w:rsidRDefault="00BC2F61" w:rsidP="00C17D52">
            <w:pPr>
              <w:spacing w:line="360" w:lineRule="auto"/>
              <w:jc w:val="center"/>
              <w:rPr>
                <w:sz w:val="24"/>
              </w:rPr>
            </w:pPr>
            <w:r w:rsidRPr="00CE5FA5">
              <w:rPr>
                <w:sz w:val="24"/>
              </w:rPr>
              <w:t>35.10000</w:t>
            </w:r>
          </w:p>
        </w:tc>
        <w:tc>
          <w:tcPr>
            <w:tcW w:w="1250" w:type="dxa"/>
            <w:vAlign w:val="bottom"/>
          </w:tcPr>
          <w:p w14:paraId="30CD2E50" w14:textId="77777777" w:rsidR="00C17D52" w:rsidRPr="00CE5FA5" w:rsidRDefault="00BC2F61" w:rsidP="00C17D52">
            <w:pPr>
              <w:spacing w:line="360" w:lineRule="auto"/>
              <w:jc w:val="center"/>
              <w:rPr>
                <w:sz w:val="24"/>
              </w:rPr>
            </w:pPr>
            <w:r w:rsidRPr="00CE5FA5">
              <w:rPr>
                <w:sz w:val="24"/>
              </w:rPr>
              <w:t>20.33000</w:t>
            </w:r>
          </w:p>
        </w:tc>
        <w:tc>
          <w:tcPr>
            <w:tcW w:w="1776" w:type="dxa"/>
            <w:vAlign w:val="bottom"/>
          </w:tcPr>
          <w:p w14:paraId="4A76869B" w14:textId="77777777" w:rsidR="00C17D52" w:rsidRPr="00CE5FA5" w:rsidRDefault="00BC2F61" w:rsidP="00C17D52">
            <w:pPr>
              <w:spacing w:line="360" w:lineRule="auto"/>
              <w:jc w:val="center"/>
              <w:rPr>
                <w:sz w:val="24"/>
              </w:rPr>
            </w:pPr>
            <w:r w:rsidRPr="00CE5FA5">
              <w:rPr>
                <w:sz w:val="24"/>
              </w:rPr>
              <w:t>3.260000</w:t>
            </w:r>
          </w:p>
        </w:tc>
      </w:tr>
      <w:tr w:rsidR="000B5092" w14:paraId="5C8047D0" w14:textId="77777777" w:rsidTr="00137397">
        <w:trPr>
          <w:trHeight w:val="220"/>
          <w:jc w:val="center"/>
        </w:trPr>
        <w:tc>
          <w:tcPr>
            <w:tcW w:w="1420" w:type="dxa"/>
            <w:vAlign w:val="bottom"/>
          </w:tcPr>
          <w:p w14:paraId="472DFA6E" w14:textId="77777777" w:rsidR="00C17D52" w:rsidRPr="00CE5FA5" w:rsidRDefault="00BC2F61" w:rsidP="00A34EE9">
            <w:pPr>
              <w:spacing w:line="360" w:lineRule="auto"/>
              <w:jc w:val="both"/>
              <w:rPr>
                <w:sz w:val="24"/>
              </w:rPr>
            </w:pPr>
            <w:r w:rsidRPr="00CE5FA5">
              <w:rPr>
                <w:sz w:val="24"/>
              </w:rPr>
              <w:t> Maximum</w:t>
            </w:r>
          </w:p>
        </w:tc>
        <w:tc>
          <w:tcPr>
            <w:tcW w:w="1250" w:type="dxa"/>
            <w:vAlign w:val="bottom"/>
          </w:tcPr>
          <w:p w14:paraId="49ED2314" w14:textId="77777777" w:rsidR="00C17D52" w:rsidRPr="00CE5FA5" w:rsidRDefault="00BC2F61" w:rsidP="00C17D52">
            <w:pPr>
              <w:spacing w:line="360" w:lineRule="auto"/>
              <w:jc w:val="center"/>
              <w:rPr>
                <w:sz w:val="24"/>
              </w:rPr>
            </w:pPr>
            <w:r w:rsidRPr="00CE5FA5">
              <w:rPr>
                <w:sz w:val="24"/>
              </w:rPr>
              <w:t>4.860000</w:t>
            </w:r>
          </w:p>
        </w:tc>
        <w:tc>
          <w:tcPr>
            <w:tcW w:w="1250" w:type="dxa"/>
            <w:vAlign w:val="bottom"/>
          </w:tcPr>
          <w:p w14:paraId="29679D4B" w14:textId="77777777" w:rsidR="00C17D52" w:rsidRPr="00CE5FA5" w:rsidRDefault="00BC2F61" w:rsidP="00C17D52">
            <w:pPr>
              <w:spacing w:line="360" w:lineRule="auto"/>
              <w:jc w:val="center"/>
              <w:rPr>
                <w:sz w:val="24"/>
              </w:rPr>
            </w:pPr>
            <w:r w:rsidRPr="00CE5FA5">
              <w:rPr>
                <w:sz w:val="24"/>
              </w:rPr>
              <w:t>233.2000</w:t>
            </w:r>
          </w:p>
        </w:tc>
        <w:tc>
          <w:tcPr>
            <w:tcW w:w="1250" w:type="dxa"/>
            <w:vAlign w:val="bottom"/>
          </w:tcPr>
          <w:p w14:paraId="070A16B9" w14:textId="77777777" w:rsidR="00C17D52" w:rsidRPr="00CE5FA5" w:rsidRDefault="00BC2F61" w:rsidP="00C17D52">
            <w:pPr>
              <w:spacing w:line="360" w:lineRule="auto"/>
              <w:jc w:val="center"/>
              <w:rPr>
                <w:sz w:val="24"/>
              </w:rPr>
            </w:pPr>
            <w:r w:rsidRPr="00CE5FA5">
              <w:rPr>
                <w:sz w:val="24"/>
              </w:rPr>
              <w:t>152.0000</w:t>
            </w:r>
          </w:p>
        </w:tc>
        <w:tc>
          <w:tcPr>
            <w:tcW w:w="1776" w:type="dxa"/>
            <w:vAlign w:val="bottom"/>
          </w:tcPr>
          <w:p w14:paraId="29166DD5" w14:textId="77777777" w:rsidR="00C17D52" w:rsidRPr="00CE5FA5" w:rsidRDefault="00BC2F61" w:rsidP="00C17D52">
            <w:pPr>
              <w:spacing w:line="360" w:lineRule="auto"/>
              <w:jc w:val="center"/>
              <w:rPr>
                <w:sz w:val="24"/>
              </w:rPr>
            </w:pPr>
            <w:r w:rsidRPr="00CE5FA5">
              <w:rPr>
                <w:sz w:val="24"/>
              </w:rPr>
              <w:t>142.1200</w:t>
            </w:r>
          </w:p>
        </w:tc>
      </w:tr>
      <w:tr w:rsidR="000B5092" w14:paraId="52C54D88" w14:textId="77777777" w:rsidTr="00137397">
        <w:trPr>
          <w:trHeight w:val="220"/>
          <w:jc w:val="center"/>
        </w:trPr>
        <w:tc>
          <w:tcPr>
            <w:tcW w:w="1420" w:type="dxa"/>
            <w:vAlign w:val="bottom"/>
          </w:tcPr>
          <w:p w14:paraId="404FE2AF" w14:textId="77777777" w:rsidR="00C17D52" w:rsidRPr="00CE5FA5" w:rsidRDefault="00BC2F61" w:rsidP="00A34EE9">
            <w:pPr>
              <w:spacing w:line="360" w:lineRule="auto"/>
              <w:jc w:val="both"/>
              <w:rPr>
                <w:sz w:val="24"/>
              </w:rPr>
            </w:pPr>
            <w:r w:rsidRPr="00CE5FA5">
              <w:rPr>
                <w:sz w:val="24"/>
              </w:rPr>
              <w:t> Minimum</w:t>
            </w:r>
          </w:p>
        </w:tc>
        <w:tc>
          <w:tcPr>
            <w:tcW w:w="1250" w:type="dxa"/>
            <w:vAlign w:val="bottom"/>
          </w:tcPr>
          <w:p w14:paraId="53B83189" w14:textId="77777777" w:rsidR="00C17D52" w:rsidRPr="00CE5FA5" w:rsidRDefault="00BC2F61" w:rsidP="00C17D52">
            <w:pPr>
              <w:spacing w:line="360" w:lineRule="auto"/>
              <w:jc w:val="center"/>
              <w:rPr>
                <w:sz w:val="24"/>
              </w:rPr>
            </w:pPr>
            <w:r w:rsidRPr="00CE5FA5">
              <w:rPr>
                <w:sz w:val="24"/>
              </w:rPr>
              <w:t>-0.710000</w:t>
            </w:r>
          </w:p>
        </w:tc>
        <w:tc>
          <w:tcPr>
            <w:tcW w:w="1250" w:type="dxa"/>
            <w:vAlign w:val="bottom"/>
          </w:tcPr>
          <w:p w14:paraId="5C512611" w14:textId="77777777" w:rsidR="00C17D52" w:rsidRPr="00CE5FA5" w:rsidRDefault="00BC2F61" w:rsidP="00C17D52">
            <w:pPr>
              <w:spacing w:line="360" w:lineRule="auto"/>
              <w:jc w:val="center"/>
              <w:rPr>
                <w:sz w:val="24"/>
              </w:rPr>
            </w:pPr>
            <w:r w:rsidRPr="00CE5FA5">
              <w:rPr>
                <w:sz w:val="24"/>
              </w:rPr>
              <w:t>0.590000</w:t>
            </w:r>
          </w:p>
        </w:tc>
        <w:tc>
          <w:tcPr>
            <w:tcW w:w="1250" w:type="dxa"/>
            <w:vAlign w:val="bottom"/>
          </w:tcPr>
          <w:p w14:paraId="302E3717" w14:textId="77777777" w:rsidR="00C17D52" w:rsidRPr="00CE5FA5" w:rsidRDefault="00BC2F61" w:rsidP="00C17D52">
            <w:pPr>
              <w:spacing w:line="360" w:lineRule="auto"/>
              <w:jc w:val="center"/>
              <w:rPr>
                <w:sz w:val="24"/>
              </w:rPr>
            </w:pPr>
            <w:r w:rsidRPr="00CE5FA5">
              <w:rPr>
                <w:sz w:val="24"/>
              </w:rPr>
              <w:t>0.130000</w:t>
            </w:r>
          </w:p>
        </w:tc>
        <w:tc>
          <w:tcPr>
            <w:tcW w:w="1776" w:type="dxa"/>
            <w:vAlign w:val="bottom"/>
          </w:tcPr>
          <w:p w14:paraId="780429D2" w14:textId="77777777" w:rsidR="00C17D52" w:rsidRPr="00CE5FA5" w:rsidRDefault="00BC2F61" w:rsidP="00C17D52">
            <w:pPr>
              <w:spacing w:line="360" w:lineRule="auto"/>
              <w:jc w:val="center"/>
              <w:rPr>
                <w:sz w:val="24"/>
              </w:rPr>
            </w:pPr>
            <w:r w:rsidRPr="00CE5FA5">
              <w:rPr>
                <w:sz w:val="24"/>
              </w:rPr>
              <w:t>0.000000</w:t>
            </w:r>
          </w:p>
        </w:tc>
      </w:tr>
      <w:tr w:rsidR="000B5092" w14:paraId="34ED38C3" w14:textId="77777777" w:rsidTr="00137397">
        <w:trPr>
          <w:trHeight w:val="220"/>
          <w:jc w:val="center"/>
        </w:trPr>
        <w:tc>
          <w:tcPr>
            <w:tcW w:w="1420" w:type="dxa"/>
            <w:vAlign w:val="bottom"/>
          </w:tcPr>
          <w:p w14:paraId="763C3823" w14:textId="77777777" w:rsidR="00C17D52" w:rsidRPr="00CE5FA5" w:rsidRDefault="00BC2F61" w:rsidP="00A34EE9">
            <w:pPr>
              <w:spacing w:line="360" w:lineRule="auto"/>
              <w:jc w:val="both"/>
              <w:rPr>
                <w:sz w:val="24"/>
              </w:rPr>
            </w:pPr>
            <w:r w:rsidRPr="00CE5FA5">
              <w:rPr>
                <w:sz w:val="24"/>
              </w:rPr>
              <w:t> Std. Dev.</w:t>
            </w:r>
          </w:p>
        </w:tc>
        <w:tc>
          <w:tcPr>
            <w:tcW w:w="1250" w:type="dxa"/>
            <w:vAlign w:val="bottom"/>
          </w:tcPr>
          <w:p w14:paraId="7F429FD5" w14:textId="77777777" w:rsidR="00C17D52" w:rsidRPr="00CE5FA5" w:rsidRDefault="00BC2F61" w:rsidP="00C17D52">
            <w:pPr>
              <w:spacing w:line="360" w:lineRule="auto"/>
              <w:jc w:val="center"/>
              <w:rPr>
                <w:sz w:val="24"/>
              </w:rPr>
            </w:pPr>
            <w:r w:rsidRPr="00CE5FA5">
              <w:rPr>
                <w:sz w:val="24"/>
              </w:rPr>
              <w:t>0.874380</w:t>
            </w:r>
          </w:p>
        </w:tc>
        <w:tc>
          <w:tcPr>
            <w:tcW w:w="1250" w:type="dxa"/>
            <w:vAlign w:val="bottom"/>
          </w:tcPr>
          <w:p w14:paraId="39FA97CE" w14:textId="77777777" w:rsidR="00C17D52" w:rsidRPr="00CE5FA5" w:rsidRDefault="00BC2F61" w:rsidP="00C17D52">
            <w:pPr>
              <w:spacing w:line="360" w:lineRule="auto"/>
              <w:jc w:val="center"/>
              <w:rPr>
                <w:sz w:val="24"/>
              </w:rPr>
            </w:pPr>
            <w:r w:rsidRPr="00CE5FA5">
              <w:rPr>
                <w:sz w:val="24"/>
              </w:rPr>
              <w:t>51.42761</w:t>
            </w:r>
          </w:p>
        </w:tc>
        <w:tc>
          <w:tcPr>
            <w:tcW w:w="1250" w:type="dxa"/>
            <w:vAlign w:val="bottom"/>
          </w:tcPr>
          <w:p w14:paraId="5D9E8330" w14:textId="77777777" w:rsidR="00C17D52" w:rsidRPr="00CE5FA5" w:rsidRDefault="00BC2F61" w:rsidP="00C17D52">
            <w:pPr>
              <w:spacing w:line="360" w:lineRule="auto"/>
              <w:jc w:val="center"/>
              <w:rPr>
                <w:sz w:val="24"/>
              </w:rPr>
            </w:pPr>
            <w:r w:rsidRPr="00CE5FA5">
              <w:rPr>
                <w:sz w:val="24"/>
              </w:rPr>
              <w:t>33.11819</w:t>
            </w:r>
          </w:p>
        </w:tc>
        <w:tc>
          <w:tcPr>
            <w:tcW w:w="1776" w:type="dxa"/>
            <w:vAlign w:val="bottom"/>
          </w:tcPr>
          <w:p w14:paraId="251BC1F9" w14:textId="77777777" w:rsidR="00C17D52" w:rsidRPr="00CE5FA5" w:rsidRDefault="00BC2F61" w:rsidP="00C17D52">
            <w:pPr>
              <w:spacing w:line="360" w:lineRule="auto"/>
              <w:jc w:val="center"/>
              <w:rPr>
                <w:sz w:val="24"/>
              </w:rPr>
            </w:pPr>
            <w:r w:rsidRPr="00CE5FA5">
              <w:rPr>
                <w:sz w:val="24"/>
              </w:rPr>
              <w:t>22.51166</w:t>
            </w:r>
          </w:p>
        </w:tc>
      </w:tr>
      <w:tr w:rsidR="000B5092" w14:paraId="75AF20B3" w14:textId="77777777" w:rsidTr="00137397">
        <w:trPr>
          <w:trHeight w:val="220"/>
          <w:jc w:val="center"/>
        </w:trPr>
        <w:tc>
          <w:tcPr>
            <w:tcW w:w="1420" w:type="dxa"/>
            <w:vAlign w:val="bottom"/>
          </w:tcPr>
          <w:p w14:paraId="0BA75960" w14:textId="77777777" w:rsidR="00C17D52" w:rsidRPr="00CE5FA5" w:rsidRDefault="00BC2F61" w:rsidP="00A34EE9">
            <w:pPr>
              <w:spacing w:line="360" w:lineRule="auto"/>
              <w:jc w:val="both"/>
              <w:rPr>
                <w:sz w:val="24"/>
              </w:rPr>
            </w:pPr>
            <w:r w:rsidRPr="00CE5FA5">
              <w:rPr>
                <w:sz w:val="24"/>
              </w:rPr>
              <w:t> Observations</w:t>
            </w:r>
          </w:p>
        </w:tc>
        <w:tc>
          <w:tcPr>
            <w:tcW w:w="1250" w:type="dxa"/>
            <w:vAlign w:val="bottom"/>
          </w:tcPr>
          <w:p w14:paraId="2E1C64C2" w14:textId="77777777" w:rsidR="00C17D52" w:rsidRPr="00CE5FA5" w:rsidRDefault="00BC2F61" w:rsidP="00C17D52">
            <w:pPr>
              <w:spacing w:line="360" w:lineRule="auto"/>
              <w:jc w:val="center"/>
              <w:rPr>
                <w:sz w:val="24"/>
              </w:rPr>
            </w:pPr>
            <w:r w:rsidRPr="00CE5FA5">
              <w:rPr>
                <w:sz w:val="24"/>
              </w:rPr>
              <w:t>75</w:t>
            </w:r>
          </w:p>
        </w:tc>
        <w:tc>
          <w:tcPr>
            <w:tcW w:w="1250" w:type="dxa"/>
            <w:vAlign w:val="bottom"/>
          </w:tcPr>
          <w:p w14:paraId="125238C0" w14:textId="77777777" w:rsidR="00C17D52" w:rsidRPr="00CE5FA5" w:rsidRDefault="00BC2F61" w:rsidP="00C17D52">
            <w:pPr>
              <w:spacing w:line="360" w:lineRule="auto"/>
              <w:jc w:val="center"/>
              <w:rPr>
                <w:sz w:val="24"/>
              </w:rPr>
            </w:pPr>
            <w:r w:rsidRPr="00CE5FA5">
              <w:rPr>
                <w:sz w:val="24"/>
              </w:rPr>
              <w:t>75</w:t>
            </w:r>
          </w:p>
        </w:tc>
        <w:tc>
          <w:tcPr>
            <w:tcW w:w="1250" w:type="dxa"/>
            <w:vAlign w:val="bottom"/>
          </w:tcPr>
          <w:p w14:paraId="7757E228" w14:textId="77777777" w:rsidR="00C17D52" w:rsidRPr="00CE5FA5" w:rsidRDefault="00BC2F61" w:rsidP="00C17D52">
            <w:pPr>
              <w:spacing w:line="360" w:lineRule="auto"/>
              <w:jc w:val="center"/>
              <w:rPr>
                <w:sz w:val="24"/>
              </w:rPr>
            </w:pPr>
            <w:r w:rsidRPr="00CE5FA5">
              <w:rPr>
                <w:sz w:val="24"/>
              </w:rPr>
              <w:t>75</w:t>
            </w:r>
          </w:p>
        </w:tc>
        <w:tc>
          <w:tcPr>
            <w:tcW w:w="1776" w:type="dxa"/>
            <w:vAlign w:val="bottom"/>
          </w:tcPr>
          <w:p w14:paraId="018C1285" w14:textId="77777777" w:rsidR="00C17D52" w:rsidRPr="00CE5FA5" w:rsidRDefault="00BC2F61" w:rsidP="00C17D52">
            <w:pPr>
              <w:spacing w:line="360" w:lineRule="auto"/>
              <w:jc w:val="center"/>
              <w:rPr>
                <w:sz w:val="24"/>
              </w:rPr>
            </w:pPr>
            <w:r w:rsidRPr="00CE5FA5">
              <w:rPr>
                <w:sz w:val="24"/>
              </w:rPr>
              <w:t>75</w:t>
            </w:r>
          </w:p>
        </w:tc>
      </w:tr>
    </w:tbl>
    <w:p w14:paraId="5A866F8F" w14:textId="77777777" w:rsidR="00C17D52" w:rsidRDefault="00C17D52" w:rsidP="00893346">
      <w:pPr>
        <w:jc w:val="both"/>
        <w:rPr>
          <w:sz w:val="24"/>
          <w:szCs w:val="24"/>
        </w:rPr>
      </w:pPr>
    </w:p>
    <w:p w14:paraId="7272A1FB" w14:textId="77777777" w:rsidR="008D2463" w:rsidRPr="00C17D52" w:rsidRDefault="00BC2F61" w:rsidP="00C17D52">
      <w:pPr>
        <w:ind w:firstLine="567"/>
        <w:jc w:val="both"/>
        <w:rPr>
          <w:sz w:val="24"/>
          <w:szCs w:val="24"/>
        </w:rPr>
      </w:pPr>
      <w:r w:rsidRPr="00137397">
        <w:rPr>
          <w:sz w:val="24"/>
          <w:szCs w:val="24"/>
        </w:rPr>
        <w:t xml:space="preserve">Based on the data processing results from 75 observations during the period 2019-2023, each variable exhibits characteristics that can be analyzed based on the minimum, maximum, mean, median, and standard deviation values. The dependent variable, Return on Assets (ROA), shows an average value of 1.4536, with a minimum value of -0.71, a maximum of 4.86, and a standard deviation of 0.8357, reflecting low data deviation and a uniform distribution of values. The independent variable Size has an average of 47.544, with a minimum value of 0.59, a maximum of 233.2, and a standard deviation of 51.428, indicating low deviation. The independent variable Third-Party Funds (DPK) records an average of 28.563, with a minimum value of 0.13, a maximum of 152, and a standard deviation of 33.118, showing a similar data distribution pattern. Finally, the independent variable, </w:t>
      </w:r>
      <w:r w:rsidRPr="00137397">
        <w:rPr>
          <w:sz w:val="24"/>
          <w:szCs w:val="24"/>
        </w:rPr>
        <w:lastRenderedPageBreak/>
        <w:t>Dividend Policy, has an average of 14.521, a minimum value of 0.00, a maximum of 142.12, and a standard deviation of 22.512, also reflecting a uniform data spread. All variables have an average more significant than the standard deviation, indicating that data deviation is relatively low</w:t>
      </w:r>
      <w:r w:rsidR="00C17D52" w:rsidRPr="00C17D52">
        <w:rPr>
          <w:sz w:val="24"/>
          <w:szCs w:val="24"/>
        </w:rPr>
        <w:t>.</w:t>
      </w:r>
    </w:p>
    <w:p w14:paraId="32BCFCA4" w14:textId="77777777" w:rsidR="008D2463" w:rsidRPr="00F23B88" w:rsidRDefault="008D2463" w:rsidP="008D2463">
      <w:pPr>
        <w:jc w:val="both"/>
      </w:pPr>
    </w:p>
    <w:p w14:paraId="1734ED22" w14:textId="77777777" w:rsidR="008D2463" w:rsidRPr="00C17D52" w:rsidRDefault="00BC2F61" w:rsidP="008D2463">
      <w:pPr>
        <w:jc w:val="both"/>
        <w:rPr>
          <w:b/>
          <w:bCs/>
          <w:sz w:val="24"/>
          <w:szCs w:val="24"/>
        </w:rPr>
      </w:pPr>
      <w:r w:rsidRPr="007E5A51">
        <w:rPr>
          <w:b/>
          <w:bCs/>
          <w:sz w:val="24"/>
          <w:szCs w:val="24"/>
        </w:rPr>
        <w:t xml:space="preserve">Test </w:t>
      </w:r>
      <w:r>
        <w:rPr>
          <w:b/>
          <w:bCs/>
          <w:sz w:val="24"/>
          <w:szCs w:val="24"/>
        </w:rPr>
        <w:t>M</w:t>
      </w:r>
      <w:r w:rsidRPr="007E5A51">
        <w:rPr>
          <w:b/>
          <w:bCs/>
          <w:sz w:val="24"/>
          <w:szCs w:val="24"/>
        </w:rPr>
        <w:t xml:space="preserve">odel </w:t>
      </w:r>
      <w:r>
        <w:rPr>
          <w:b/>
          <w:bCs/>
          <w:sz w:val="24"/>
          <w:szCs w:val="24"/>
        </w:rPr>
        <w:t>S</w:t>
      </w:r>
      <w:r w:rsidRPr="007E5A51">
        <w:rPr>
          <w:b/>
          <w:bCs/>
          <w:sz w:val="24"/>
          <w:szCs w:val="24"/>
        </w:rPr>
        <w:t>election</w:t>
      </w:r>
    </w:p>
    <w:p w14:paraId="6479E4C0" w14:textId="77777777" w:rsidR="00C17D52" w:rsidRPr="00C17D52" w:rsidRDefault="00BC2F61" w:rsidP="00C17D52">
      <w:pPr>
        <w:ind w:firstLine="567"/>
        <w:jc w:val="both"/>
        <w:rPr>
          <w:sz w:val="24"/>
          <w:szCs w:val="24"/>
          <w:lang w:val="en-ID"/>
        </w:rPr>
      </w:pPr>
      <w:r w:rsidRPr="007E5A51">
        <w:rPr>
          <w:sz w:val="24"/>
          <w:szCs w:val="24"/>
          <w:lang w:val="en-ID"/>
        </w:rPr>
        <w:t xml:space="preserve">The selection of a panel data regression model is an </w:t>
      </w:r>
      <w:r w:rsidR="00DD5BC2">
        <w:rPr>
          <w:sz w:val="24"/>
          <w:szCs w:val="24"/>
          <w:lang w:val="en-ID"/>
        </w:rPr>
        <w:t>essential</w:t>
      </w:r>
      <w:r w:rsidRPr="007E5A51">
        <w:rPr>
          <w:sz w:val="24"/>
          <w:szCs w:val="24"/>
          <w:lang w:val="en-ID"/>
        </w:rPr>
        <w:t xml:space="preserve"> step in determining the most appropriate approach between Common Effect, Fixed Effect, or Random Effect. This process involves several tests, namely the Chow test, Hausman test, and Lagrange Multiplier test, which are described as follows</w:t>
      </w:r>
      <w:r w:rsidRPr="00C17D52">
        <w:rPr>
          <w:sz w:val="24"/>
          <w:szCs w:val="24"/>
          <w:lang w:val="en-ID"/>
        </w:rPr>
        <w:t>:</w:t>
      </w:r>
    </w:p>
    <w:p w14:paraId="33498AD1" w14:textId="77777777" w:rsidR="00C17D52" w:rsidRDefault="00C17D52" w:rsidP="00C17D52">
      <w:pPr>
        <w:jc w:val="center"/>
        <w:rPr>
          <w:b/>
          <w:bCs/>
          <w:sz w:val="24"/>
          <w:szCs w:val="24"/>
        </w:rPr>
      </w:pPr>
    </w:p>
    <w:p w14:paraId="275F5170" w14:textId="77777777" w:rsidR="00C17D52" w:rsidRPr="00C17D52" w:rsidRDefault="00BC2F61" w:rsidP="00C17D52">
      <w:pPr>
        <w:jc w:val="center"/>
        <w:rPr>
          <w:sz w:val="24"/>
          <w:szCs w:val="24"/>
        </w:rPr>
      </w:pPr>
      <w:r w:rsidRPr="00C17D52">
        <w:rPr>
          <w:b/>
          <w:bCs/>
          <w:sz w:val="24"/>
          <w:szCs w:val="24"/>
        </w:rPr>
        <w:t>Tab</w:t>
      </w:r>
      <w:r w:rsidR="007E5A51">
        <w:rPr>
          <w:b/>
          <w:bCs/>
          <w:sz w:val="24"/>
          <w:szCs w:val="24"/>
        </w:rPr>
        <w:t>le</w:t>
      </w:r>
      <w:r w:rsidRPr="00C17D52">
        <w:rPr>
          <w:b/>
          <w:bCs/>
          <w:sz w:val="24"/>
          <w:szCs w:val="24"/>
        </w:rPr>
        <w:t xml:space="preserve"> 5. </w:t>
      </w:r>
      <w:r w:rsidR="007E5A51" w:rsidRPr="007E5A51">
        <w:rPr>
          <w:sz w:val="24"/>
          <w:szCs w:val="24"/>
        </w:rPr>
        <w:t>Chow Test Results</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970"/>
        <w:gridCol w:w="1150"/>
        <w:gridCol w:w="1150"/>
        <w:gridCol w:w="950"/>
      </w:tblGrid>
      <w:tr w:rsidR="000B5092" w14:paraId="487DB1E0" w14:textId="77777777" w:rsidTr="00C17D52">
        <w:trPr>
          <w:trHeight w:val="220"/>
          <w:jc w:val="center"/>
        </w:trPr>
        <w:tc>
          <w:tcPr>
            <w:tcW w:w="2970" w:type="dxa"/>
            <w:vAlign w:val="bottom"/>
          </w:tcPr>
          <w:p w14:paraId="0EC4038B" w14:textId="77777777" w:rsidR="00C17D52" w:rsidRPr="001F7F11" w:rsidRDefault="00BC2F61" w:rsidP="00A34EE9">
            <w:pPr>
              <w:spacing w:line="360" w:lineRule="auto"/>
              <w:jc w:val="both"/>
              <w:rPr>
                <w:sz w:val="24"/>
                <w:szCs w:val="24"/>
              </w:rPr>
            </w:pPr>
            <w:r w:rsidRPr="001F7F11">
              <w:rPr>
                <w:sz w:val="24"/>
                <w:szCs w:val="24"/>
              </w:rPr>
              <w:t>Effects Test</w:t>
            </w:r>
          </w:p>
        </w:tc>
        <w:tc>
          <w:tcPr>
            <w:tcW w:w="1150" w:type="dxa"/>
            <w:vAlign w:val="bottom"/>
          </w:tcPr>
          <w:p w14:paraId="10C89469" w14:textId="77777777" w:rsidR="00C17D52" w:rsidRPr="001F7F11" w:rsidRDefault="00BC2F61" w:rsidP="00C17D52">
            <w:pPr>
              <w:spacing w:line="360" w:lineRule="auto"/>
              <w:jc w:val="center"/>
              <w:rPr>
                <w:sz w:val="24"/>
                <w:szCs w:val="24"/>
              </w:rPr>
            </w:pPr>
            <w:r w:rsidRPr="001F7F11">
              <w:rPr>
                <w:sz w:val="24"/>
                <w:szCs w:val="24"/>
              </w:rPr>
              <w:t>Statistic</w:t>
            </w:r>
          </w:p>
        </w:tc>
        <w:tc>
          <w:tcPr>
            <w:tcW w:w="1150" w:type="dxa"/>
            <w:vAlign w:val="bottom"/>
          </w:tcPr>
          <w:p w14:paraId="79F23A5C" w14:textId="77777777" w:rsidR="00C17D52" w:rsidRPr="001F7F11" w:rsidRDefault="00BC2F61" w:rsidP="00C17D52">
            <w:pPr>
              <w:spacing w:line="360" w:lineRule="auto"/>
              <w:jc w:val="center"/>
              <w:rPr>
                <w:sz w:val="24"/>
                <w:szCs w:val="24"/>
              </w:rPr>
            </w:pPr>
            <w:r w:rsidRPr="001F7F11">
              <w:rPr>
                <w:sz w:val="24"/>
                <w:szCs w:val="24"/>
              </w:rPr>
              <w:t>d.f.</w:t>
            </w:r>
          </w:p>
        </w:tc>
        <w:tc>
          <w:tcPr>
            <w:tcW w:w="950" w:type="dxa"/>
            <w:vAlign w:val="bottom"/>
          </w:tcPr>
          <w:p w14:paraId="5CB5E0CB" w14:textId="77777777" w:rsidR="00C17D52" w:rsidRPr="001F7F11" w:rsidRDefault="00BC2F61" w:rsidP="00C17D52">
            <w:pPr>
              <w:spacing w:line="360" w:lineRule="auto"/>
              <w:jc w:val="center"/>
              <w:rPr>
                <w:sz w:val="24"/>
                <w:szCs w:val="24"/>
              </w:rPr>
            </w:pPr>
            <w:r w:rsidRPr="001F7F11">
              <w:rPr>
                <w:sz w:val="24"/>
                <w:szCs w:val="24"/>
              </w:rPr>
              <w:t>Prob.</w:t>
            </w:r>
          </w:p>
        </w:tc>
      </w:tr>
      <w:tr w:rsidR="000B5092" w14:paraId="42BF4587" w14:textId="77777777" w:rsidTr="00C17D52">
        <w:trPr>
          <w:trHeight w:val="220"/>
          <w:jc w:val="center"/>
        </w:trPr>
        <w:tc>
          <w:tcPr>
            <w:tcW w:w="2970" w:type="dxa"/>
            <w:vAlign w:val="bottom"/>
          </w:tcPr>
          <w:p w14:paraId="191DA7F5" w14:textId="77777777" w:rsidR="00C17D52" w:rsidRPr="001F7F11" w:rsidRDefault="00BC2F61" w:rsidP="00A34EE9">
            <w:pPr>
              <w:spacing w:line="360" w:lineRule="auto"/>
              <w:jc w:val="both"/>
              <w:rPr>
                <w:sz w:val="24"/>
                <w:szCs w:val="24"/>
              </w:rPr>
            </w:pPr>
            <w:r w:rsidRPr="001F7F11">
              <w:rPr>
                <w:sz w:val="24"/>
                <w:szCs w:val="24"/>
              </w:rPr>
              <w:t>Cross-section F</w:t>
            </w:r>
          </w:p>
        </w:tc>
        <w:tc>
          <w:tcPr>
            <w:tcW w:w="1150" w:type="dxa"/>
            <w:vAlign w:val="bottom"/>
          </w:tcPr>
          <w:p w14:paraId="21C123B8" w14:textId="77777777" w:rsidR="00C17D52" w:rsidRPr="001F7F11" w:rsidRDefault="00BC2F61" w:rsidP="00C17D52">
            <w:pPr>
              <w:spacing w:line="360" w:lineRule="auto"/>
              <w:jc w:val="center"/>
              <w:rPr>
                <w:sz w:val="24"/>
                <w:szCs w:val="24"/>
              </w:rPr>
            </w:pPr>
            <w:r w:rsidRPr="001F7F11">
              <w:rPr>
                <w:sz w:val="24"/>
                <w:szCs w:val="24"/>
              </w:rPr>
              <w:t>4.427584</w:t>
            </w:r>
          </w:p>
        </w:tc>
        <w:tc>
          <w:tcPr>
            <w:tcW w:w="1150" w:type="dxa"/>
            <w:vAlign w:val="bottom"/>
          </w:tcPr>
          <w:p w14:paraId="098408CA" w14:textId="77777777" w:rsidR="00C17D52" w:rsidRPr="001F7F11" w:rsidRDefault="00BC2F61" w:rsidP="00C17D52">
            <w:pPr>
              <w:spacing w:line="360" w:lineRule="auto"/>
              <w:jc w:val="center"/>
              <w:rPr>
                <w:sz w:val="24"/>
                <w:szCs w:val="24"/>
              </w:rPr>
            </w:pPr>
            <w:r w:rsidRPr="001F7F11">
              <w:rPr>
                <w:sz w:val="24"/>
                <w:szCs w:val="24"/>
              </w:rPr>
              <w:t>(14,57)</w:t>
            </w:r>
          </w:p>
        </w:tc>
        <w:tc>
          <w:tcPr>
            <w:tcW w:w="950" w:type="dxa"/>
            <w:vAlign w:val="bottom"/>
          </w:tcPr>
          <w:p w14:paraId="2951D0AD" w14:textId="77777777" w:rsidR="00C17D52" w:rsidRPr="001F7F11" w:rsidRDefault="00BC2F61" w:rsidP="00C17D52">
            <w:pPr>
              <w:spacing w:line="360" w:lineRule="auto"/>
              <w:jc w:val="center"/>
              <w:rPr>
                <w:sz w:val="24"/>
                <w:szCs w:val="24"/>
              </w:rPr>
            </w:pPr>
            <w:r w:rsidRPr="001F7F11">
              <w:rPr>
                <w:sz w:val="24"/>
                <w:szCs w:val="24"/>
              </w:rPr>
              <w:t>0.0000</w:t>
            </w:r>
          </w:p>
        </w:tc>
      </w:tr>
      <w:tr w:rsidR="000B5092" w14:paraId="04517C3E" w14:textId="77777777" w:rsidTr="00C17D52">
        <w:trPr>
          <w:trHeight w:val="220"/>
          <w:jc w:val="center"/>
        </w:trPr>
        <w:tc>
          <w:tcPr>
            <w:tcW w:w="2970" w:type="dxa"/>
            <w:vAlign w:val="bottom"/>
          </w:tcPr>
          <w:p w14:paraId="3EDB2D3A" w14:textId="77777777" w:rsidR="00C17D52" w:rsidRPr="001F7F11" w:rsidRDefault="00BC2F61" w:rsidP="00A34EE9">
            <w:pPr>
              <w:spacing w:line="360" w:lineRule="auto"/>
              <w:jc w:val="both"/>
              <w:rPr>
                <w:sz w:val="24"/>
                <w:szCs w:val="24"/>
              </w:rPr>
            </w:pPr>
            <w:r w:rsidRPr="001F7F11">
              <w:rPr>
                <w:sz w:val="24"/>
                <w:szCs w:val="24"/>
              </w:rPr>
              <w:t>Cross-section Chi-square</w:t>
            </w:r>
          </w:p>
        </w:tc>
        <w:tc>
          <w:tcPr>
            <w:tcW w:w="1150" w:type="dxa"/>
            <w:vAlign w:val="bottom"/>
          </w:tcPr>
          <w:p w14:paraId="7962D419" w14:textId="77777777" w:rsidR="00C17D52" w:rsidRPr="001F7F11" w:rsidRDefault="00BC2F61" w:rsidP="00C17D52">
            <w:pPr>
              <w:spacing w:line="360" w:lineRule="auto"/>
              <w:jc w:val="center"/>
              <w:rPr>
                <w:sz w:val="24"/>
                <w:szCs w:val="24"/>
              </w:rPr>
            </w:pPr>
            <w:r w:rsidRPr="001F7F11">
              <w:rPr>
                <w:sz w:val="24"/>
                <w:szCs w:val="24"/>
              </w:rPr>
              <w:t>55.196703</w:t>
            </w:r>
          </w:p>
        </w:tc>
        <w:tc>
          <w:tcPr>
            <w:tcW w:w="1150" w:type="dxa"/>
            <w:vAlign w:val="bottom"/>
          </w:tcPr>
          <w:p w14:paraId="5F6FAE9A" w14:textId="77777777" w:rsidR="00C17D52" w:rsidRPr="001F7F11" w:rsidRDefault="00BC2F61" w:rsidP="00C17D52">
            <w:pPr>
              <w:spacing w:line="360" w:lineRule="auto"/>
              <w:jc w:val="center"/>
              <w:rPr>
                <w:sz w:val="24"/>
                <w:szCs w:val="24"/>
              </w:rPr>
            </w:pPr>
            <w:r w:rsidRPr="001F7F11">
              <w:rPr>
                <w:sz w:val="24"/>
                <w:szCs w:val="24"/>
              </w:rPr>
              <w:t>14</w:t>
            </w:r>
          </w:p>
        </w:tc>
        <w:tc>
          <w:tcPr>
            <w:tcW w:w="950" w:type="dxa"/>
            <w:vAlign w:val="bottom"/>
          </w:tcPr>
          <w:p w14:paraId="5A8A3CF5" w14:textId="77777777" w:rsidR="00C17D52" w:rsidRPr="001F7F11" w:rsidRDefault="00BC2F61" w:rsidP="00C17D52">
            <w:pPr>
              <w:spacing w:line="360" w:lineRule="auto"/>
              <w:jc w:val="center"/>
              <w:rPr>
                <w:sz w:val="24"/>
                <w:szCs w:val="24"/>
              </w:rPr>
            </w:pPr>
            <w:r w:rsidRPr="001F7F11">
              <w:rPr>
                <w:sz w:val="24"/>
                <w:szCs w:val="24"/>
              </w:rPr>
              <w:t>0.0000</w:t>
            </w:r>
          </w:p>
        </w:tc>
      </w:tr>
    </w:tbl>
    <w:p w14:paraId="451805F4" w14:textId="77777777" w:rsidR="00C17D52" w:rsidRPr="00C17D52" w:rsidRDefault="00C17D52" w:rsidP="00C17D52">
      <w:pPr>
        <w:jc w:val="center"/>
      </w:pPr>
    </w:p>
    <w:p w14:paraId="45A93AA8" w14:textId="77777777" w:rsidR="008D2463" w:rsidRPr="00C17D52" w:rsidRDefault="00BC2F61" w:rsidP="00C17D52">
      <w:pPr>
        <w:ind w:firstLine="567"/>
        <w:jc w:val="both"/>
        <w:rPr>
          <w:sz w:val="24"/>
          <w:szCs w:val="24"/>
        </w:rPr>
      </w:pPr>
      <w:r w:rsidRPr="007E5A51">
        <w:rPr>
          <w:sz w:val="24"/>
          <w:szCs w:val="24"/>
        </w:rPr>
        <w:t>Based on the Chow Test in Table 5 above, it can be seen from the significant level value of the Cross section chi-square is 0.0000 &lt; 0.05, which means that the model used is the Fixed Effect Model. Next, the Hausman test was carried out with the following results.</w:t>
      </w:r>
    </w:p>
    <w:p w14:paraId="083C10C8" w14:textId="77777777" w:rsidR="00182BC9" w:rsidRDefault="00182BC9" w:rsidP="008D2463">
      <w:pPr>
        <w:jc w:val="both"/>
      </w:pPr>
    </w:p>
    <w:p w14:paraId="035C82A8" w14:textId="77777777" w:rsidR="00C17D52" w:rsidRPr="007E5A51" w:rsidRDefault="00BC2F61" w:rsidP="007E5A51">
      <w:pPr>
        <w:jc w:val="center"/>
        <w:rPr>
          <w:sz w:val="24"/>
          <w:szCs w:val="24"/>
          <w:lang w:val="en-ID"/>
        </w:rPr>
      </w:pPr>
      <w:r w:rsidRPr="00182BC9">
        <w:rPr>
          <w:b/>
          <w:bCs/>
          <w:sz w:val="24"/>
          <w:szCs w:val="24"/>
        </w:rPr>
        <w:t>Tab</w:t>
      </w:r>
      <w:r w:rsidR="007E5A51">
        <w:rPr>
          <w:b/>
          <w:bCs/>
          <w:sz w:val="24"/>
          <w:szCs w:val="24"/>
        </w:rPr>
        <w:t>le</w:t>
      </w:r>
      <w:r w:rsidRPr="00182BC9">
        <w:rPr>
          <w:b/>
          <w:bCs/>
          <w:sz w:val="24"/>
          <w:szCs w:val="24"/>
        </w:rPr>
        <w:t xml:space="preserve"> 6. </w:t>
      </w:r>
      <w:r w:rsidR="007E5A51" w:rsidRPr="007E5A51">
        <w:rPr>
          <w:sz w:val="24"/>
          <w:szCs w:val="24"/>
          <w:lang w:val="en"/>
        </w:rPr>
        <w:t>Hausman Test Results</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970"/>
        <w:gridCol w:w="1150"/>
        <w:gridCol w:w="1150"/>
        <w:gridCol w:w="950"/>
      </w:tblGrid>
      <w:tr w:rsidR="000B5092" w14:paraId="0100AC59" w14:textId="77777777" w:rsidTr="00182BC9">
        <w:trPr>
          <w:trHeight w:val="220"/>
          <w:jc w:val="center"/>
        </w:trPr>
        <w:tc>
          <w:tcPr>
            <w:tcW w:w="2970" w:type="dxa"/>
            <w:vAlign w:val="center"/>
          </w:tcPr>
          <w:p w14:paraId="0F0D0AC6" w14:textId="77777777" w:rsidR="00182BC9" w:rsidRPr="00182BC9" w:rsidRDefault="00BC2F61" w:rsidP="00182BC9">
            <w:pPr>
              <w:rPr>
                <w:sz w:val="24"/>
                <w:szCs w:val="24"/>
              </w:rPr>
            </w:pPr>
            <w:r w:rsidRPr="00182BC9">
              <w:rPr>
                <w:sz w:val="24"/>
                <w:szCs w:val="24"/>
              </w:rPr>
              <w:t>Test Summary</w:t>
            </w:r>
          </w:p>
        </w:tc>
        <w:tc>
          <w:tcPr>
            <w:tcW w:w="1150" w:type="dxa"/>
            <w:vAlign w:val="center"/>
          </w:tcPr>
          <w:p w14:paraId="02631A10" w14:textId="77777777" w:rsidR="00182BC9" w:rsidRPr="00182BC9" w:rsidRDefault="00BC2F61" w:rsidP="00182BC9">
            <w:pPr>
              <w:jc w:val="center"/>
              <w:rPr>
                <w:sz w:val="24"/>
                <w:szCs w:val="24"/>
              </w:rPr>
            </w:pPr>
            <w:r w:rsidRPr="00182BC9">
              <w:rPr>
                <w:sz w:val="24"/>
                <w:szCs w:val="24"/>
              </w:rPr>
              <w:t>Chi-Sq. Statistic</w:t>
            </w:r>
          </w:p>
        </w:tc>
        <w:tc>
          <w:tcPr>
            <w:tcW w:w="1150" w:type="dxa"/>
            <w:vAlign w:val="center"/>
          </w:tcPr>
          <w:p w14:paraId="2EEB79E8" w14:textId="77777777" w:rsidR="00182BC9" w:rsidRPr="00182BC9" w:rsidRDefault="00BC2F61" w:rsidP="00182BC9">
            <w:pPr>
              <w:jc w:val="center"/>
              <w:rPr>
                <w:sz w:val="24"/>
                <w:szCs w:val="24"/>
              </w:rPr>
            </w:pPr>
            <w:r w:rsidRPr="00182BC9">
              <w:rPr>
                <w:sz w:val="24"/>
                <w:szCs w:val="24"/>
              </w:rPr>
              <w:t>Chi-Sq. d.f.</w:t>
            </w:r>
          </w:p>
        </w:tc>
        <w:tc>
          <w:tcPr>
            <w:tcW w:w="950" w:type="dxa"/>
            <w:vAlign w:val="center"/>
          </w:tcPr>
          <w:p w14:paraId="1AB08590" w14:textId="77777777" w:rsidR="00182BC9" w:rsidRPr="00182BC9" w:rsidRDefault="00BC2F61" w:rsidP="00182BC9">
            <w:pPr>
              <w:jc w:val="center"/>
              <w:rPr>
                <w:sz w:val="24"/>
                <w:szCs w:val="24"/>
              </w:rPr>
            </w:pPr>
            <w:r w:rsidRPr="00182BC9">
              <w:rPr>
                <w:sz w:val="24"/>
                <w:szCs w:val="24"/>
              </w:rPr>
              <w:t>Prob.</w:t>
            </w:r>
          </w:p>
        </w:tc>
      </w:tr>
      <w:tr w:rsidR="000B5092" w14:paraId="4DE8C49E" w14:textId="77777777" w:rsidTr="00A34EE9">
        <w:trPr>
          <w:trHeight w:val="220"/>
          <w:jc w:val="center"/>
        </w:trPr>
        <w:tc>
          <w:tcPr>
            <w:tcW w:w="2970" w:type="dxa"/>
            <w:vAlign w:val="bottom"/>
          </w:tcPr>
          <w:p w14:paraId="11E08D4E" w14:textId="77777777" w:rsidR="00182BC9" w:rsidRPr="00182BC9" w:rsidRDefault="00BC2F61" w:rsidP="00182BC9">
            <w:pPr>
              <w:spacing w:line="360" w:lineRule="auto"/>
              <w:jc w:val="both"/>
              <w:rPr>
                <w:sz w:val="24"/>
                <w:szCs w:val="24"/>
              </w:rPr>
            </w:pPr>
            <w:r w:rsidRPr="00182BC9">
              <w:rPr>
                <w:sz w:val="24"/>
                <w:szCs w:val="24"/>
              </w:rPr>
              <w:t>Cross-section random</w:t>
            </w:r>
          </w:p>
        </w:tc>
        <w:tc>
          <w:tcPr>
            <w:tcW w:w="1150" w:type="dxa"/>
            <w:vAlign w:val="bottom"/>
          </w:tcPr>
          <w:p w14:paraId="6E999AF0" w14:textId="77777777" w:rsidR="00182BC9" w:rsidRPr="00182BC9" w:rsidRDefault="00BC2F61" w:rsidP="00182BC9">
            <w:pPr>
              <w:spacing w:line="360" w:lineRule="auto"/>
              <w:jc w:val="center"/>
              <w:rPr>
                <w:sz w:val="24"/>
                <w:szCs w:val="24"/>
              </w:rPr>
            </w:pPr>
            <w:r w:rsidRPr="00182BC9">
              <w:rPr>
                <w:sz w:val="24"/>
                <w:szCs w:val="24"/>
              </w:rPr>
              <w:t>2.897062</w:t>
            </w:r>
          </w:p>
        </w:tc>
        <w:tc>
          <w:tcPr>
            <w:tcW w:w="1150" w:type="dxa"/>
            <w:vAlign w:val="bottom"/>
          </w:tcPr>
          <w:p w14:paraId="15D9D7F9" w14:textId="77777777" w:rsidR="00182BC9" w:rsidRPr="00182BC9" w:rsidRDefault="00BC2F61" w:rsidP="00182BC9">
            <w:pPr>
              <w:spacing w:line="360" w:lineRule="auto"/>
              <w:jc w:val="center"/>
              <w:rPr>
                <w:sz w:val="24"/>
                <w:szCs w:val="24"/>
              </w:rPr>
            </w:pPr>
            <w:r w:rsidRPr="00182BC9">
              <w:rPr>
                <w:sz w:val="24"/>
                <w:szCs w:val="24"/>
              </w:rPr>
              <w:t>3</w:t>
            </w:r>
          </w:p>
        </w:tc>
        <w:tc>
          <w:tcPr>
            <w:tcW w:w="950" w:type="dxa"/>
            <w:vAlign w:val="bottom"/>
          </w:tcPr>
          <w:p w14:paraId="613F212E" w14:textId="77777777" w:rsidR="00182BC9" w:rsidRPr="00182BC9" w:rsidRDefault="00BC2F61" w:rsidP="00182BC9">
            <w:pPr>
              <w:spacing w:line="360" w:lineRule="auto"/>
              <w:jc w:val="center"/>
              <w:rPr>
                <w:sz w:val="24"/>
                <w:szCs w:val="24"/>
              </w:rPr>
            </w:pPr>
            <w:r w:rsidRPr="00182BC9">
              <w:rPr>
                <w:sz w:val="24"/>
                <w:szCs w:val="24"/>
              </w:rPr>
              <w:t>0.4078</w:t>
            </w:r>
          </w:p>
        </w:tc>
      </w:tr>
    </w:tbl>
    <w:p w14:paraId="75CBB23E" w14:textId="77777777" w:rsidR="008D2463" w:rsidRPr="00F23B88" w:rsidRDefault="008D2463" w:rsidP="00182BC9">
      <w:pPr>
        <w:jc w:val="center"/>
      </w:pPr>
    </w:p>
    <w:p w14:paraId="2281F45A" w14:textId="77777777" w:rsidR="008D2463" w:rsidRPr="007E5A51" w:rsidRDefault="00BC2F61" w:rsidP="007E5A51">
      <w:pPr>
        <w:ind w:firstLine="567"/>
        <w:jc w:val="both"/>
        <w:rPr>
          <w:sz w:val="24"/>
          <w:szCs w:val="24"/>
          <w:lang w:val="en-ID"/>
        </w:rPr>
      </w:pPr>
      <w:r w:rsidRPr="007E5A51">
        <w:rPr>
          <w:sz w:val="24"/>
          <w:szCs w:val="24"/>
          <w:lang w:val="en-ID"/>
        </w:rPr>
        <w:t>Based on the Hausman test in Table 6 above, the probability value is 0.4078, which is greater than 0.05. Therefore, the model selected is the Random Effect Model (REM). The next step is to conduct the Lagrange Multiplier test to determine the best model between REM and the Common Effect Model (CEM), as follows</w:t>
      </w:r>
      <w:r w:rsidR="00182BC9">
        <w:rPr>
          <w:sz w:val="24"/>
          <w:szCs w:val="24"/>
        </w:rPr>
        <w:t>:</w:t>
      </w:r>
    </w:p>
    <w:p w14:paraId="6E87F609" w14:textId="77777777" w:rsidR="00182BC9" w:rsidRDefault="00182BC9" w:rsidP="00182BC9">
      <w:pPr>
        <w:ind w:firstLine="567"/>
        <w:jc w:val="both"/>
        <w:rPr>
          <w:sz w:val="24"/>
          <w:szCs w:val="24"/>
        </w:rPr>
      </w:pPr>
    </w:p>
    <w:p w14:paraId="70F6B333" w14:textId="77777777" w:rsidR="00182BC9" w:rsidRPr="007E5A51" w:rsidRDefault="00BC2F61" w:rsidP="007E5A51">
      <w:pPr>
        <w:ind w:firstLine="567"/>
        <w:jc w:val="center"/>
        <w:rPr>
          <w:sz w:val="24"/>
          <w:szCs w:val="24"/>
          <w:lang w:val="en-ID"/>
        </w:rPr>
      </w:pPr>
      <w:r>
        <w:rPr>
          <w:b/>
          <w:bCs/>
          <w:sz w:val="24"/>
          <w:szCs w:val="24"/>
        </w:rPr>
        <w:t>Tab</w:t>
      </w:r>
      <w:r w:rsidR="007E5A51">
        <w:rPr>
          <w:b/>
          <w:bCs/>
          <w:sz w:val="24"/>
          <w:szCs w:val="24"/>
        </w:rPr>
        <w:t>le</w:t>
      </w:r>
      <w:r>
        <w:rPr>
          <w:b/>
          <w:bCs/>
          <w:sz w:val="24"/>
          <w:szCs w:val="24"/>
        </w:rPr>
        <w:t xml:space="preserve"> 7. </w:t>
      </w:r>
      <w:r w:rsidR="007E5A51" w:rsidRPr="007E5A51">
        <w:rPr>
          <w:sz w:val="24"/>
          <w:szCs w:val="24"/>
          <w:lang w:val="en"/>
        </w:rPr>
        <w:t>Lagrange Multiplier Test Results</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970"/>
        <w:gridCol w:w="1150"/>
        <w:gridCol w:w="1150"/>
        <w:gridCol w:w="1109"/>
      </w:tblGrid>
      <w:tr w:rsidR="000B5092" w14:paraId="7F87C54B" w14:textId="77777777" w:rsidTr="00182BC9">
        <w:trPr>
          <w:trHeight w:val="220"/>
          <w:jc w:val="center"/>
        </w:trPr>
        <w:tc>
          <w:tcPr>
            <w:tcW w:w="2970" w:type="dxa"/>
            <w:vAlign w:val="center"/>
          </w:tcPr>
          <w:p w14:paraId="43459627" w14:textId="77777777" w:rsidR="00182BC9" w:rsidRPr="00182BC9" w:rsidRDefault="00182BC9" w:rsidP="00182BC9">
            <w:pPr>
              <w:rPr>
                <w:sz w:val="24"/>
                <w:szCs w:val="24"/>
              </w:rPr>
            </w:pPr>
          </w:p>
        </w:tc>
        <w:tc>
          <w:tcPr>
            <w:tcW w:w="1150" w:type="dxa"/>
            <w:vAlign w:val="center"/>
          </w:tcPr>
          <w:p w14:paraId="5F9E1BED" w14:textId="77777777" w:rsidR="00182BC9" w:rsidRPr="00182BC9" w:rsidRDefault="00BC2F61" w:rsidP="00182BC9">
            <w:pPr>
              <w:jc w:val="center"/>
              <w:rPr>
                <w:sz w:val="24"/>
                <w:szCs w:val="24"/>
              </w:rPr>
            </w:pPr>
            <w:r w:rsidRPr="00DC53F6">
              <w:rPr>
                <w:sz w:val="24"/>
                <w:szCs w:val="24"/>
              </w:rPr>
              <w:t>Cross-section</w:t>
            </w:r>
          </w:p>
        </w:tc>
        <w:tc>
          <w:tcPr>
            <w:tcW w:w="1150" w:type="dxa"/>
            <w:vAlign w:val="center"/>
          </w:tcPr>
          <w:p w14:paraId="4FA2310F" w14:textId="77777777" w:rsidR="00182BC9" w:rsidRPr="00182BC9" w:rsidRDefault="00BC2F61" w:rsidP="00182BC9">
            <w:pPr>
              <w:jc w:val="center"/>
              <w:rPr>
                <w:sz w:val="24"/>
                <w:szCs w:val="24"/>
              </w:rPr>
            </w:pPr>
            <w:r w:rsidRPr="00DC53F6">
              <w:rPr>
                <w:sz w:val="24"/>
                <w:szCs w:val="24"/>
              </w:rPr>
              <w:t>Time</w:t>
            </w:r>
          </w:p>
        </w:tc>
        <w:tc>
          <w:tcPr>
            <w:tcW w:w="1109" w:type="dxa"/>
            <w:vAlign w:val="center"/>
          </w:tcPr>
          <w:p w14:paraId="1C40DDC0" w14:textId="77777777" w:rsidR="00182BC9" w:rsidRPr="00182BC9" w:rsidRDefault="00BC2F61" w:rsidP="00182BC9">
            <w:pPr>
              <w:jc w:val="center"/>
              <w:rPr>
                <w:sz w:val="24"/>
                <w:szCs w:val="24"/>
              </w:rPr>
            </w:pPr>
            <w:r w:rsidRPr="00DC53F6">
              <w:rPr>
                <w:sz w:val="24"/>
                <w:szCs w:val="24"/>
              </w:rPr>
              <w:t>Both</w:t>
            </w:r>
          </w:p>
        </w:tc>
      </w:tr>
      <w:tr w:rsidR="000B5092" w14:paraId="79C66410" w14:textId="77777777" w:rsidTr="00182BC9">
        <w:trPr>
          <w:trHeight w:val="220"/>
          <w:jc w:val="center"/>
        </w:trPr>
        <w:tc>
          <w:tcPr>
            <w:tcW w:w="2970" w:type="dxa"/>
            <w:vAlign w:val="bottom"/>
          </w:tcPr>
          <w:p w14:paraId="16A8D771" w14:textId="77777777" w:rsidR="00182BC9" w:rsidRPr="00182BC9" w:rsidRDefault="00BC2F61" w:rsidP="00182BC9">
            <w:pPr>
              <w:spacing w:line="360" w:lineRule="auto"/>
              <w:jc w:val="both"/>
              <w:rPr>
                <w:sz w:val="24"/>
                <w:szCs w:val="24"/>
              </w:rPr>
            </w:pPr>
            <w:r w:rsidRPr="00DC53F6">
              <w:rPr>
                <w:sz w:val="24"/>
                <w:szCs w:val="24"/>
              </w:rPr>
              <w:t>Breusch-Pagan</w:t>
            </w:r>
          </w:p>
        </w:tc>
        <w:tc>
          <w:tcPr>
            <w:tcW w:w="1150" w:type="dxa"/>
            <w:vAlign w:val="bottom"/>
          </w:tcPr>
          <w:p w14:paraId="665DD401" w14:textId="77777777" w:rsidR="00182BC9" w:rsidRPr="00182BC9" w:rsidRDefault="00BC2F61" w:rsidP="00182BC9">
            <w:pPr>
              <w:spacing w:line="360" w:lineRule="auto"/>
              <w:jc w:val="center"/>
              <w:rPr>
                <w:sz w:val="24"/>
                <w:szCs w:val="24"/>
              </w:rPr>
            </w:pPr>
            <w:r w:rsidRPr="00DC53F6">
              <w:rPr>
                <w:sz w:val="24"/>
                <w:szCs w:val="24"/>
              </w:rPr>
              <w:t> 19.86552</w:t>
            </w:r>
          </w:p>
        </w:tc>
        <w:tc>
          <w:tcPr>
            <w:tcW w:w="1150" w:type="dxa"/>
            <w:vAlign w:val="bottom"/>
          </w:tcPr>
          <w:p w14:paraId="389B0EEB" w14:textId="77777777" w:rsidR="00182BC9" w:rsidRPr="00182BC9" w:rsidRDefault="00BC2F61" w:rsidP="00182BC9">
            <w:pPr>
              <w:spacing w:line="360" w:lineRule="auto"/>
              <w:jc w:val="center"/>
              <w:rPr>
                <w:sz w:val="24"/>
                <w:szCs w:val="24"/>
              </w:rPr>
            </w:pPr>
            <w:r w:rsidRPr="00DC53F6">
              <w:rPr>
                <w:sz w:val="24"/>
                <w:szCs w:val="24"/>
              </w:rPr>
              <w:t> 0.292048</w:t>
            </w:r>
          </w:p>
        </w:tc>
        <w:tc>
          <w:tcPr>
            <w:tcW w:w="1109" w:type="dxa"/>
            <w:vAlign w:val="bottom"/>
          </w:tcPr>
          <w:p w14:paraId="2F981E12" w14:textId="77777777" w:rsidR="00182BC9" w:rsidRPr="00182BC9" w:rsidRDefault="00BC2F61" w:rsidP="00182BC9">
            <w:pPr>
              <w:spacing w:line="360" w:lineRule="auto"/>
              <w:jc w:val="center"/>
              <w:rPr>
                <w:sz w:val="24"/>
                <w:szCs w:val="24"/>
              </w:rPr>
            </w:pPr>
            <w:r w:rsidRPr="00DC53F6">
              <w:rPr>
                <w:sz w:val="24"/>
                <w:szCs w:val="24"/>
              </w:rPr>
              <w:t> 20.15757</w:t>
            </w:r>
          </w:p>
        </w:tc>
      </w:tr>
      <w:tr w:rsidR="000B5092" w14:paraId="340179E1" w14:textId="77777777" w:rsidTr="00182BC9">
        <w:trPr>
          <w:trHeight w:val="220"/>
          <w:jc w:val="center"/>
        </w:trPr>
        <w:tc>
          <w:tcPr>
            <w:tcW w:w="2970" w:type="dxa"/>
            <w:vAlign w:val="bottom"/>
          </w:tcPr>
          <w:p w14:paraId="4AF9BD9C" w14:textId="77777777" w:rsidR="00182BC9" w:rsidRPr="00DC53F6" w:rsidRDefault="00182BC9" w:rsidP="00182BC9">
            <w:pPr>
              <w:spacing w:line="360" w:lineRule="auto"/>
              <w:jc w:val="both"/>
              <w:rPr>
                <w:sz w:val="24"/>
                <w:szCs w:val="24"/>
              </w:rPr>
            </w:pPr>
          </w:p>
        </w:tc>
        <w:tc>
          <w:tcPr>
            <w:tcW w:w="1150" w:type="dxa"/>
            <w:vAlign w:val="bottom"/>
          </w:tcPr>
          <w:p w14:paraId="69EBF6FD" w14:textId="77777777" w:rsidR="00182BC9" w:rsidRPr="00DC53F6" w:rsidRDefault="00BC2F61" w:rsidP="00182BC9">
            <w:pPr>
              <w:spacing w:line="360" w:lineRule="auto"/>
              <w:jc w:val="center"/>
              <w:rPr>
                <w:sz w:val="24"/>
                <w:szCs w:val="24"/>
              </w:rPr>
            </w:pPr>
            <w:r w:rsidRPr="00DC53F6">
              <w:rPr>
                <w:sz w:val="24"/>
                <w:szCs w:val="24"/>
              </w:rPr>
              <w:t>(0.0000)</w:t>
            </w:r>
          </w:p>
        </w:tc>
        <w:tc>
          <w:tcPr>
            <w:tcW w:w="1150" w:type="dxa"/>
            <w:vAlign w:val="bottom"/>
          </w:tcPr>
          <w:p w14:paraId="1C6F48A4" w14:textId="77777777" w:rsidR="00182BC9" w:rsidRPr="00DC53F6" w:rsidRDefault="00BC2F61" w:rsidP="00182BC9">
            <w:pPr>
              <w:spacing w:line="360" w:lineRule="auto"/>
              <w:jc w:val="center"/>
              <w:rPr>
                <w:sz w:val="24"/>
                <w:szCs w:val="24"/>
              </w:rPr>
            </w:pPr>
            <w:r w:rsidRPr="00DC53F6">
              <w:rPr>
                <w:sz w:val="24"/>
                <w:szCs w:val="24"/>
              </w:rPr>
              <w:t>(0.5889)</w:t>
            </w:r>
          </w:p>
        </w:tc>
        <w:tc>
          <w:tcPr>
            <w:tcW w:w="1109" w:type="dxa"/>
            <w:vAlign w:val="bottom"/>
          </w:tcPr>
          <w:p w14:paraId="7442714D" w14:textId="77777777" w:rsidR="00182BC9" w:rsidRPr="00DC53F6" w:rsidRDefault="00BC2F61" w:rsidP="00182BC9">
            <w:pPr>
              <w:spacing w:line="360" w:lineRule="auto"/>
              <w:jc w:val="center"/>
              <w:rPr>
                <w:sz w:val="24"/>
                <w:szCs w:val="24"/>
              </w:rPr>
            </w:pPr>
            <w:r w:rsidRPr="00DC53F6">
              <w:rPr>
                <w:sz w:val="24"/>
                <w:szCs w:val="24"/>
              </w:rPr>
              <w:t>(0.0000)</w:t>
            </w:r>
          </w:p>
        </w:tc>
      </w:tr>
    </w:tbl>
    <w:p w14:paraId="37AD7D96" w14:textId="77777777" w:rsidR="00182BC9" w:rsidRPr="00182BC9" w:rsidRDefault="00182BC9" w:rsidP="00182BC9">
      <w:pPr>
        <w:ind w:firstLine="567"/>
        <w:jc w:val="center"/>
        <w:rPr>
          <w:sz w:val="24"/>
          <w:szCs w:val="24"/>
        </w:rPr>
      </w:pPr>
    </w:p>
    <w:p w14:paraId="15B7BCF6" w14:textId="77777777" w:rsidR="008D2463" w:rsidRDefault="00BC2F61" w:rsidP="00182BC9">
      <w:pPr>
        <w:ind w:firstLine="567"/>
        <w:jc w:val="both"/>
        <w:rPr>
          <w:i/>
          <w:iCs/>
          <w:sz w:val="24"/>
          <w:szCs w:val="24"/>
        </w:rPr>
      </w:pPr>
      <w:r w:rsidRPr="007E5A51">
        <w:rPr>
          <w:sz w:val="24"/>
          <w:szCs w:val="24"/>
        </w:rPr>
        <w:t>Based on the Lagrange Multiplier Test above, it can be seen from the significant level value of the Breusch-Pagan Cross section is 0.0000 &lt; 0.05, which can be concluded that the model used is the Random Effect Model</w:t>
      </w:r>
      <w:r w:rsidR="00182BC9">
        <w:rPr>
          <w:i/>
          <w:iCs/>
          <w:sz w:val="24"/>
          <w:szCs w:val="24"/>
        </w:rPr>
        <w:t>.</w:t>
      </w:r>
    </w:p>
    <w:p w14:paraId="44D8D833" w14:textId="77777777" w:rsidR="00182BC9" w:rsidRDefault="00BC2F61" w:rsidP="007E5A51">
      <w:pPr>
        <w:ind w:firstLine="567"/>
        <w:jc w:val="both"/>
        <w:rPr>
          <w:sz w:val="24"/>
          <w:szCs w:val="24"/>
          <w:lang w:val="en-ID"/>
        </w:rPr>
      </w:pPr>
      <w:r w:rsidRPr="007E5A51">
        <w:rPr>
          <w:sz w:val="24"/>
          <w:szCs w:val="24"/>
          <w:lang w:val="en-ID"/>
        </w:rPr>
        <w:t>Based on the results of the Chow test, Hausman test, and LM test, the selected model is the Random Effect Model (REM). Therefore, REM is used to analyze the effect of Size, DPK, and Dividend Policy on ROA. The results of the panel data regression using the REM model are displayed as follows</w:t>
      </w:r>
      <w:r w:rsidRPr="00182BC9">
        <w:rPr>
          <w:sz w:val="24"/>
          <w:szCs w:val="24"/>
          <w:lang w:val="en-ID"/>
        </w:rPr>
        <w:t>:</w:t>
      </w:r>
    </w:p>
    <w:p w14:paraId="4DEAE429" w14:textId="77777777" w:rsidR="00182BC9" w:rsidRDefault="00182BC9" w:rsidP="00182BC9">
      <w:pPr>
        <w:jc w:val="center"/>
        <w:rPr>
          <w:sz w:val="24"/>
          <w:szCs w:val="24"/>
          <w:lang w:val="en-ID"/>
        </w:rPr>
      </w:pPr>
    </w:p>
    <w:p w14:paraId="473FC53F" w14:textId="77777777" w:rsidR="00182BC9" w:rsidRDefault="00BC2F61" w:rsidP="00182BC9">
      <w:pPr>
        <w:jc w:val="center"/>
        <w:rPr>
          <w:sz w:val="24"/>
          <w:szCs w:val="24"/>
          <w:lang w:val="en-ID"/>
        </w:rPr>
      </w:pPr>
      <w:r>
        <w:rPr>
          <w:b/>
          <w:bCs/>
          <w:sz w:val="24"/>
          <w:szCs w:val="24"/>
          <w:lang w:val="en-ID"/>
        </w:rPr>
        <w:lastRenderedPageBreak/>
        <w:t>Tab</w:t>
      </w:r>
      <w:r w:rsidR="007E5A51">
        <w:rPr>
          <w:b/>
          <w:bCs/>
          <w:sz w:val="24"/>
          <w:szCs w:val="24"/>
          <w:lang w:val="en-ID"/>
        </w:rPr>
        <w:t>le</w:t>
      </w:r>
      <w:r>
        <w:rPr>
          <w:b/>
          <w:bCs/>
          <w:sz w:val="24"/>
          <w:szCs w:val="24"/>
          <w:lang w:val="en-ID"/>
        </w:rPr>
        <w:t xml:space="preserve"> 8. </w:t>
      </w:r>
      <w:r w:rsidR="007E5A51" w:rsidRPr="007E5A51">
        <w:rPr>
          <w:sz w:val="24"/>
          <w:szCs w:val="24"/>
          <w:lang w:val="en-ID"/>
        </w:rPr>
        <w:t>REM Selected Regression Models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53"/>
        <w:gridCol w:w="1613"/>
        <w:gridCol w:w="1574"/>
        <w:gridCol w:w="1574"/>
        <w:gridCol w:w="1523"/>
      </w:tblGrid>
      <w:tr w:rsidR="000B5092" w14:paraId="40A89101" w14:textId="77777777" w:rsidTr="00182BC9">
        <w:tc>
          <w:tcPr>
            <w:tcW w:w="1653" w:type="dxa"/>
          </w:tcPr>
          <w:p w14:paraId="747EDF3F" w14:textId="77777777" w:rsidR="00182BC9" w:rsidRPr="00182BC9" w:rsidRDefault="00BC2F61" w:rsidP="00A34EE9">
            <w:pPr>
              <w:jc w:val="both"/>
              <w:rPr>
                <w:sz w:val="24"/>
                <w:szCs w:val="24"/>
              </w:rPr>
            </w:pPr>
            <w:r w:rsidRPr="00182BC9">
              <w:rPr>
                <w:sz w:val="24"/>
                <w:szCs w:val="24"/>
              </w:rPr>
              <w:t>Variable</w:t>
            </w:r>
          </w:p>
        </w:tc>
        <w:tc>
          <w:tcPr>
            <w:tcW w:w="1613" w:type="dxa"/>
          </w:tcPr>
          <w:p w14:paraId="42475A2A" w14:textId="77777777" w:rsidR="00182BC9" w:rsidRPr="00182BC9" w:rsidRDefault="00BC2F61" w:rsidP="00A34EE9">
            <w:pPr>
              <w:jc w:val="center"/>
              <w:rPr>
                <w:sz w:val="24"/>
                <w:szCs w:val="24"/>
              </w:rPr>
            </w:pPr>
            <w:r w:rsidRPr="00182BC9">
              <w:rPr>
                <w:sz w:val="24"/>
                <w:szCs w:val="24"/>
              </w:rPr>
              <w:t>Coefficient</w:t>
            </w:r>
          </w:p>
        </w:tc>
        <w:tc>
          <w:tcPr>
            <w:tcW w:w="1574" w:type="dxa"/>
          </w:tcPr>
          <w:p w14:paraId="465AD4D9" w14:textId="77777777" w:rsidR="00182BC9" w:rsidRPr="00182BC9" w:rsidRDefault="00BC2F61" w:rsidP="00A34EE9">
            <w:pPr>
              <w:jc w:val="center"/>
              <w:rPr>
                <w:sz w:val="24"/>
                <w:szCs w:val="24"/>
              </w:rPr>
            </w:pPr>
            <w:r w:rsidRPr="00182BC9">
              <w:rPr>
                <w:sz w:val="24"/>
                <w:szCs w:val="24"/>
              </w:rPr>
              <w:t>Std. Error</w:t>
            </w:r>
          </w:p>
        </w:tc>
        <w:tc>
          <w:tcPr>
            <w:tcW w:w="1574" w:type="dxa"/>
          </w:tcPr>
          <w:p w14:paraId="25A46FA3" w14:textId="77777777" w:rsidR="00182BC9" w:rsidRPr="00182BC9" w:rsidRDefault="00BC2F61" w:rsidP="00A34EE9">
            <w:pPr>
              <w:jc w:val="center"/>
              <w:rPr>
                <w:sz w:val="24"/>
                <w:szCs w:val="24"/>
              </w:rPr>
            </w:pPr>
            <w:r w:rsidRPr="00182BC9">
              <w:rPr>
                <w:sz w:val="24"/>
                <w:szCs w:val="24"/>
              </w:rPr>
              <w:t>t-statistic</w:t>
            </w:r>
          </w:p>
        </w:tc>
        <w:tc>
          <w:tcPr>
            <w:tcW w:w="1523" w:type="dxa"/>
          </w:tcPr>
          <w:p w14:paraId="305B7BC9" w14:textId="77777777" w:rsidR="00182BC9" w:rsidRPr="00182BC9" w:rsidRDefault="00BC2F61" w:rsidP="00A34EE9">
            <w:pPr>
              <w:jc w:val="center"/>
              <w:rPr>
                <w:sz w:val="24"/>
                <w:szCs w:val="24"/>
              </w:rPr>
            </w:pPr>
            <w:r w:rsidRPr="00182BC9">
              <w:rPr>
                <w:sz w:val="24"/>
                <w:szCs w:val="24"/>
              </w:rPr>
              <w:t>Prob.</w:t>
            </w:r>
          </w:p>
        </w:tc>
      </w:tr>
      <w:tr w:rsidR="000B5092" w14:paraId="66413D9E" w14:textId="77777777" w:rsidTr="00182BC9">
        <w:tc>
          <w:tcPr>
            <w:tcW w:w="1653" w:type="dxa"/>
          </w:tcPr>
          <w:p w14:paraId="1DCFBC0A" w14:textId="77777777" w:rsidR="00182BC9" w:rsidRPr="00182BC9" w:rsidRDefault="00BC2F61" w:rsidP="00182BC9">
            <w:pPr>
              <w:jc w:val="both"/>
              <w:rPr>
                <w:sz w:val="24"/>
                <w:szCs w:val="24"/>
              </w:rPr>
            </w:pPr>
            <w:r w:rsidRPr="00182BC9">
              <w:rPr>
                <w:sz w:val="24"/>
                <w:szCs w:val="24"/>
              </w:rPr>
              <w:t>C</w:t>
            </w:r>
          </w:p>
        </w:tc>
        <w:tc>
          <w:tcPr>
            <w:tcW w:w="1613" w:type="dxa"/>
            <w:vAlign w:val="bottom"/>
          </w:tcPr>
          <w:p w14:paraId="456D9BF5" w14:textId="77777777" w:rsidR="00182BC9" w:rsidRPr="00182BC9" w:rsidRDefault="00BC2F61" w:rsidP="00182BC9">
            <w:pPr>
              <w:jc w:val="center"/>
              <w:rPr>
                <w:sz w:val="24"/>
                <w:szCs w:val="24"/>
              </w:rPr>
            </w:pPr>
            <w:r w:rsidRPr="00DC53F6">
              <w:rPr>
                <w:sz w:val="24"/>
                <w:szCs w:val="24"/>
              </w:rPr>
              <w:t>1.168170</w:t>
            </w:r>
          </w:p>
        </w:tc>
        <w:tc>
          <w:tcPr>
            <w:tcW w:w="1574" w:type="dxa"/>
            <w:vAlign w:val="bottom"/>
          </w:tcPr>
          <w:p w14:paraId="1904D50E" w14:textId="77777777" w:rsidR="00182BC9" w:rsidRPr="00182BC9" w:rsidRDefault="00BC2F61" w:rsidP="00182BC9">
            <w:pPr>
              <w:jc w:val="center"/>
              <w:rPr>
                <w:sz w:val="24"/>
                <w:szCs w:val="24"/>
              </w:rPr>
            </w:pPr>
            <w:r w:rsidRPr="00DC53F6">
              <w:rPr>
                <w:sz w:val="24"/>
                <w:szCs w:val="24"/>
              </w:rPr>
              <w:t>0.203164</w:t>
            </w:r>
          </w:p>
        </w:tc>
        <w:tc>
          <w:tcPr>
            <w:tcW w:w="1574" w:type="dxa"/>
            <w:vAlign w:val="bottom"/>
          </w:tcPr>
          <w:p w14:paraId="696E45C3" w14:textId="77777777" w:rsidR="00182BC9" w:rsidRPr="00182BC9" w:rsidRDefault="00BC2F61" w:rsidP="00182BC9">
            <w:pPr>
              <w:jc w:val="center"/>
              <w:rPr>
                <w:sz w:val="24"/>
                <w:szCs w:val="24"/>
              </w:rPr>
            </w:pPr>
            <w:r w:rsidRPr="00DC53F6">
              <w:rPr>
                <w:sz w:val="24"/>
                <w:szCs w:val="24"/>
              </w:rPr>
              <w:t>5.749902</w:t>
            </w:r>
          </w:p>
        </w:tc>
        <w:tc>
          <w:tcPr>
            <w:tcW w:w="1523" w:type="dxa"/>
            <w:vAlign w:val="bottom"/>
          </w:tcPr>
          <w:p w14:paraId="46773536" w14:textId="77777777" w:rsidR="00182BC9" w:rsidRPr="00182BC9" w:rsidRDefault="00BC2F61" w:rsidP="00182BC9">
            <w:pPr>
              <w:jc w:val="center"/>
              <w:rPr>
                <w:sz w:val="24"/>
                <w:szCs w:val="24"/>
              </w:rPr>
            </w:pPr>
            <w:r w:rsidRPr="00DC53F6">
              <w:rPr>
                <w:sz w:val="24"/>
                <w:szCs w:val="24"/>
              </w:rPr>
              <w:t>0.0000</w:t>
            </w:r>
          </w:p>
        </w:tc>
      </w:tr>
      <w:tr w:rsidR="000B5092" w14:paraId="3DA57D17" w14:textId="77777777" w:rsidTr="00182BC9">
        <w:tc>
          <w:tcPr>
            <w:tcW w:w="1653" w:type="dxa"/>
          </w:tcPr>
          <w:p w14:paraId="6FE5D0E7" w14:textId="77777777" w:rsidR="00182BC9" w:rsidRPr="00182BC9" w:rsidRDefault="00BC2F61" w:rsidP="00182BC9">
            <w:pPr>
              <w:jc w:val="both"/>
              <w:rPr>
                <w:sz w:val="24"/>
                <w:szCs w:val="24"/>
              </w:rPr>
            </w:pPr>
            <w:r>
              <w:rPr>
                <w:sz w:val="24"/>
                <w:szCs w:val="24"/>
              </w:rPr>
              <w:t>Size (X</w:t>
            </w:r>
            <w:r>
              <w:rPr>
                <w:sz w:val="24"/>
                <w:szCs w:val="24"/>
                <w:vertAlign w:val="subscript"/>
              </w:rPr>
              <w:t>1</w:t>
            </w:r>
            <w:r>
              <w:rPr>
                <w:sz w:val="24"/>
                <w:szCs w:val="24"/>
              </w:rPr>
              <w:t>)</w:t>
            </w:r>
          </w:p>
        </w:tc>
        <w:tc>
          <w:tcPr>
            <w:tcW w:w="1613" w:type="dxa"/>
            <w:vAlign w:val="bottom"/>
          </w:tcPr>
          <w:p w14:paraId="5E8C2D72" w14:textId="77777777" w:rsidR="00182BC9" w:rsidRPr="00182BC9" w:rsidRDefault="00BC2F61" w:rsidP="00182BC9">
            <w:pPr>
              <w:jc w:val="center"/>
              <w:rPr>
                <w:sz w:val="24"/>
                <w:szCs w:val="24"/>
              </w:rPr>
            </w:pPr>
            <w:r w:rsidRPr="00DC53F6">
              <w:rPr>
                <w:sz w:val="24"/>
                <w:szCs w:val="24"/>
              </w:rPr>
              <w:t>0.013523</w:t>
            </w:r>
          </w:p>
        </w:tc>
        <w:tc>
          <w:tcPr>
            <w:tcW w:w="1574" w:type="dxa"/>
            <w:vAlign w:val="bottom"/>
          </w:tcPr>
          <w:p w14:paraId="42B84E3F" w14:textId="77777777" w:rsidR="00182BC9" w:rsidRPr="00182BC9" w:rsidRDefault="00BC2F61" w:rsidP="00182BC9">
            <w:pPr>
              <w:jc w:val="center"/>
              <w:rPr>
                <w:sz w:val="24"/>
                <w:szCs w:val="24"/>
              </w:rPr>
            </w:pPr>
            <w:r w:rsidRPr="00DC53F6">
              <w:rPr>
                <w:sz w:val="24"/>
                <w:szCs w:val="24"/>
              </w:rPr>
              <w:t>0.003044</w:t>
            </w:r>
          </w:p>
        </w:tc>
        <w:tc>
          <w:tcPr>
            <w:tcW w:w="1574" w:type="dxa"/>
            <w:vAlign w:val="bottom"/>
          </w:tcPr>
          <w:p w14:paraId="339EACF1" w14:textId="77777777" w:rsidR="00182BC9" w:rsidRPr="00182BC9" w:rsidRDefault="00BC2F61" w:rsidP="00182BC9">
            <w:pPr>
              <w:jc w:val="center"/>
              <w:rPr>
                <w:sz w:val="24"/>
                <w:szCs w:val="24"/>
              </w:rPr>
            </w:pPr>
            <w:bookmarkStart w:id="3" w:name="_Hlk184185569"/>
            <w:r w:rsidRPr="00DC53F6">
              <w:rPr>
                <w:sz w:val="24"/>
                <w:szCs w:val="24"/>
              </w:rPr>
              <w:t>4.442533</w:t>
            </w:r>
            <w:bookmarkEnd w:id="3"/>
          </w:p>
        </w:tc>
        <w:tc>
          <w:tcPr>
            <w:tcW w:w="1523" w:type="dxa"/>
            <w:vAlign w:val="bottom"/>
          </w:tcPr>
          <w:p w14:paraId="695D5C29" w14:textId="77777777" w:rsidR="00182BC9" w:rsidRPr="00182BC9" w:rsidRDefault="00BC2F61" w:rsidP="00182BC9">
            <w:pPr>
              <w:jc w:val="center"/>
              <w:rPr>
                <w:sz w:val="24"/>
                <w:szCs w:val="24"/>
              </w:rPr>
            </w:pPr>
            <w:r w:rsidRPr="00DC53F6">
              <w:rPr>
                <w:sz w:val="24"/>
                <w:szCs w:val="24"/>
              </w:rPr>
              <w:t>0.0000</w:t>
            </w:r>
          </w:p>
        </w:tc>
      </w:tr>
      <w:tr w:rsidR="000B5092" w14:paraId="263B1A73" w14:textId="77777777" w:rsidTr="00182BC9">
        <w:tc>
          <w:tcPr>
            <w:tcW w:w="1653" w:type="dxa"/>
          </w:tcPr>
          <w:p w14:paraId="10BCC049" w14:textId="77777777" w:rsidR="00182BC9" w:rsidRPr="00182BC9" w:rsidRDefault="00BC2F61" w:rsidP="00182BC9">
            <w:pPr>
              <w:jc w:val="both"/>
              <w:rPr>
                <w:sz w:val="24"/>
                <w:szCs w:val="24"/>
              </w:rPr>
            </w:pPr>
            <w:r>
              <w:rPr>
                <w:sz w:val="24"/>
                <w:szCs w:val="24"/>
              </w:rPr>
              <w:t>DPK (X</w:t>
            </w:r>
            <w:r>
              <w:rPr>
                <w:sz w:val="24"/>
                <w:szCs w:val="24"/>
                <w:vertAlign w:val="subscript"/>
              </w:rPr>
              <w:t>2</w:t>
            </w:r>
            <w:r>
              <w:rPr>
                <w:sz w:val="24"/>
                <w:szCs w:val="24"/>
              </w:rPr>
              <w:t>)</w:t>
            </w:r>
          </w:p>
        </w:tc>
        <w:tc>
          <w:tcPr>
            <w:tcW w:w="1613" w:type="dxa"/>
            <w:vAlign w:val="bottom"/>
          </w:tcPr>
          <w:p w14:paraId="34297DB2" w14:textId="77777777" w:rsidR="00182BC9" w:rsidRPr="00182BC9" w:rsidRDefault="00BC2F61" w:rsidP="00182BC9">
            <w:pPr>
              <w:jc w:val="center"/>
              <w:rPr>
                <w:sz w:val="24"/>
                <w:szCs w:val="24"/>
              </w:rPr>
            </w:pPr>
            <w:r w:rsidRPr="00DC53F6">
              <w:rPr>
                <w:sz w:val="24"/>
                <w:szCs w:val="24"/>
              </w:rPr>
              <w:t>-0.011690</w:t>
            </w:r>
          </w:p>
        </w:tc>
        <w:tc>
          <w:tcPr>
            <w:tcW w:w="1574" w:type="dxa"/>
            <w:vAlign w:val="bottom"/>
          </w:tcPr>
          <w:p w14:paraId="36C7F2F3" w14:textId="77777777" w:rsidR="00182BC9" w:rsidRPr="00182BC9" w:rsidRDefault="00BC2F61" w:rsidP="00182BC9">
            <w:pPr>
              <w:jc w:val="center"/>
              <w:rPr>
                <w:sz w:val="24"/>
                <w:szCs w:val="24"/>
              </w:rPr>
            </w:pPr>
            <w:r w:rsidRPr="00DC53F6">
              <w:rPr>
                <w:sz w:val="24"/>
                <w:szCs w:val="24"/>
              </w:rPr>
              <w:t>0.005520</w:t>
            </w:r>
          </w:p>
        </w:tc>
        <w:tc>
          <w:tcPr>
            <w:tcW w:w="1574" w:type="dxa"/>
            <w:vAlign w:val="bottom"/>
          </w:tcPr>
          <w:p w14:paraId="2FC03396" w14:textId="77777777" w:rsidR="00182BC9" w:rsidRPr="00182BC9" w:rsidRDefault="00BC2F61" w:rsidP="00182BC9">
            <w:pPr>
              <w:jc w:val="center"/>
              <w:rPr>
                <w:sz w:val="24"/>
                <w:szCs w:val="24"/>
              </w:rPr>
            </w:pPr>
            <w:r w:rsidRPr="00DC53F6">
              <w:rPr>
                <w:sz w:val="24"/>
                <w:szCs w:val="24"/>
              </w:rPr>
              <w:t>-2.117895</w:t>
            </w:r>
          </w:p>
        </w:tc>
        <w:tc>
          <w:tcPr>
            <w:tcW w:w="1523" w:type="dxa"/>
            <w:vAlign w:val="bottom"/>
          </w:tcPr>
          <w:p w14:paraId="7B87DD20" w14:textId="77777777" w:rsidR="00182BC9" w:rsidRPr="00182BC9" w:rsidRDefault="00BC2F61" w:rsidP="00182BC9">
            <w:pPr>
              <w:jc w:val="center"/>
              <w:rPr>
                <w:sz w:val="24"/>
                <w:szCs w:val="24"/>
              </w:rPr>
            </w:pPr>
            <w:r w:rsidRPr="00DC53F6">
              <w:rPr>
                <w:sz w:val="24"/>
                <w:szCs w:val="24"/>
              </w:rPr>
              <w:t>0.0377</w:t>
            </w:r>
          </w:p>
        </w:tc>
      </w:tr>
      <w:tr w:rsidR="000B5092" w14:paraId="38CF8C3D" w14:textId="77777777" w:rsidTr="00182BC9">
        <w:tc>
          <w:tcPr>
            <w:tcW w:w="1653" w:type="dxa"/>
          </w:tcPr>
          <w:p w14:paraId="44727123" w14:textId="77777777" w:rsidR="00182BC9" w:rsidRPr="00182BC9" w:rsidRDefault="00BC2F61" w:rsidP="00182BC9">
            <w:pPr>
              <w:jc w:val="both"/>
              <w:rPr>
                <w:sz w:val="24"/>
                <w:szCs w:val="24"/>
              </w:rPr>
            </w:pPr>
            <w:r>
              <w:rPr>
                <w:sz w:val="24"/>
                <w:szCs w:val="24"/>
              </w:rPr>
              <w:t>KD (X</w:t>
            </w:r>
            <w:r>
              <w:rPr>
                <w:sz w:val="24"/>
                <w:szCs w:val="24"/>
                <w:vertAlign w:val="subscript"/>
              </w:rPr>
              <w:t>3</w:t>
            </w:r>
            <w:r>
              <w:rPr>
                <w:sz w:val="24"/>
                <w:szCs w:val="24"/>
              </w:rPr>
              <w:t>)</w:t>
            </w:r>
          </w:p>
        </w:tc>
        <w:tc>
          <w:tcPr>
            <w:tcW w:w="1613" w:type="dxa"/>
            <w:vAlign w:val="bottom"/>
          </w:tcPr>
          <w:p w14:paraId="756B30DD" w14:textId="77777777" w:rsidR="00182BC9" w:rsidRPr="00182BC9" w:rsidRDefault="00BC2F61" w:rsidP="00182BC9">
            <w:pPr>
              <w:jc w:val="center"/>
              <w:rPr>
                <w:sz w:val="24"/>
                <w:szCs w:val="24"/>
              </w:rPr>
            </w:pPr>
            <w:r w:rsidRPr="00DC53F6">
              <w:rPr>
                <w:sz w:val="24"/>
                <w:szCs w:val="24"/>
              </w:rPr>
              <w:t>-0.001625</w:t>
            </w:r>
          </w:p>
        </w:tc>
        <w:tc>
          <w:tcPr>
            <w:tcW w:w="1574" w:type="dxa"/>
            <w:vAlign w:val="bottom"/>
          </w:tcPr>
          <w:p w14:paraId="2C3E96BB" w14:textId="77777777" w:rsidR="00182BC9" w:rsidRPr="00182BC9" w:rsidRDefault="00BC2F61" w:rsidP="00182BC9">
            <w:pPr>
              <w:jc w:val="center"/>
              <w:rPr>
                <w:sz w:val="24"/>
                <w:szCs w:val="24"/>
              </w:rPr>
            </w:pPr>
            <w:r w:rsidRPr="00DC53F6">
              <w:rPr>
                <w:sz w:val="24"/>
                <w:szCs w:val="24"/>
              </w:rPr>
              <w:t>0.003620</w:t>
            </w:r>
          </w:p>
        </w:tc>
        <w:tc>
          <w:tcPr>
            <w:tcW w:w="1574" w:type="dxa"/>
            <w:vAlign w:val="bottom"/>
          </w:tcPr>
          <w:p w14:paraId="782954EE" w14:textId="77777777" w:rsidR="00182BC9" w:rsidRPr="00182BC9" w:rsidRDefault="00BC2F61" w:rsidP="00182BC9">
            <w:pPr>
              <w:jc w:val="center"/>
              <w:rPr>
                <w:sz w:val="24"/>
                <w:szCs w:val="24"/>
              </w:rPr>
            </w:pPr>
            <w:r w:rsidRPr="00DC53F6">
              <w:rPr>
                <w:sz w:val="24"/>
                <w:szCs w:val="24"/>
              </w:rPr>
              <w:t>-0.448902</w:t>
            </w:r>
          </w:p>
        </w:tc>
        <w:tc>
          <w:tcPr>
            <w:tcW w:w="1523" w:type="dxa"/>
            <w:vAlign w:val="bottom"/>
          </w:tcPr>
          <w:p w14:paraId="64AC15DC" w14:textId="77777777" w:rsidR="00182BC9" w:rsidRPr="00182BC9" w:rsidRDefault="00BC2F61" w:rsidP="00182BC9">
            <w:pPr>
              <w:jc w:val="center"/>
              <w:rPr>
                <w:sz w:val="24"/>
                <w:szCs w:val="24"/>
              </w:rPr>
            </w:pPr>
            <w:r w:rsidRPr="00DC53F6">
              <w:rPr>
                <w:sz w:val="24"/>
                <w:szCs w:val="24"/>
              </w:rPr>
              <w:t>0.6549</w:t>
            </w:r>
          </w:p>
        </w:tc>
      </w:tr>
      <w:tr w:rsidR="000B5092" w14:paraId="1FF6565A" w14:textId="77777777" w:rsidTr="00182BC9">
        <w:tc>
          <w:tcPr>
            <w:tcW w:w="3266" w:type="dxa"/>
            <w:gridSpan w:val="2"/>
          </w:tcPr>
          <w:p w14:paraId="0D43C88B" w14:textId="77777777" w:rsidR="00182BC9" w:rsidRPr="00182BC9" w:rsidRDefault="00BC2F61" w:rsidP="00A34EE9">
            <w:pPr>
              <w:rPr>
                <w:color w:val="000000"/>
                <w:sz w:val="24"/>
                <w:szCs w:val="24"/>
              </w:rPr>
            </w:pPr>
            <w:r w:rsidRPr="00182BC9">
              <w:rPr>
                <w:sz w:val="24"/>
                <w:szCs w:val="24"/>
              </w:rPr>
              <w:t xml:space="preserve">R-square                     </w:t>
            </w:r>
            <w:r w:rsidR="008A445B">
              <w:rPr>
                <w:sz w:val="24"/>
                <w:szCs w:val="24"/>
              </w:rPr>
              <w:t xml:space="preserve"> </w:t>
            </w:r>
            <w:r w:rsidRPr="00182BC9">
              <w:rPr>
                <w:sz w:val="24"/>
                <w:szCs w:val="24"/>
              </w:rPr>
              <w:t>0.</w:t>
            </w:r>
            <w:r w:rsidR="008A445B">
              <w:rPr>
                <w:sz w:val="24"/>
                <w:szCs w:val="24"/>
              </w:rPr>
              <w:t>2358</w:t>
            </w:r>
          </w:p>
        </w:tc>
        <w:tc>
          <w:tcPr>
            <w:tcW w:w="4671" w:type="dxa"/>
            <w:gridSpan w:val="3"/>
            <w:vAlign w:val="bottom"/>
          </w:tcPr>
          <w:p w14:paraId="7C7141CD" w14:textId="77777777" w:rsidR="00182BC9" w:rsidRPr="00182BC9" w:rsidRDefault="00BC2F61" w:rsidP="00A34EE9">
            <w:pPr>
              <w:rPr>
                <w:color w:val="000000"/>
                <w:sz w:val="24"/>
                <w:szCs w:val="24"/>
              </w:rPr>
            </w:pPr>
            <w:r w:rsidRPr="00182BC9">
              <w:rPr>
                <w:color w:val="000000"/>
                <w:sz w:val="24"/>
                <w:szCs w:val="24"/>
              </w:rPr>
              <w:t xml:space="preserve">F-statistic                                          </w:t>
            </w:r>
            <w:r w:rsidR="008A445B">
              <w:rPr>
                <w:color w:val="000000"/>
                <w:sz w:val="24"/>
                <w:szCs w:val="24"/>
              </w:rPr>
              <w:t>7.3011</w:t>
            </w:r>
          </w:p>
        </w:tc>
      </w:tr>
      <w:tr w:rsidR="000B5092" w14:paraId="4031E1CE" w14:textId="77777777" w:rsidTr="00182BC9">
        <w:tc>
          <w:tcPr>
            <w:tcW w:w="3266" w:type="dxa"/>
            <w:gridSpan w:val="2"/>
          </w:tcPr>
          <w:p w14:paraId="485B7E5B" w14:textId="77777777" w:rsidR="00182BC9" w:rsidRPr="00182BC9" w:rsidRDefault="00BC2F61" w:rsidP="00A34EE9">
            <w:pPr>
              <w:rPr>
                <w:color w:val="000000"/>
                <w:sz w:val="24"/>
                <w:szCs w:val="24"/>
              </w:rPr>
            </w:pPr>
            <w:r w:rsidRPr="00182BC9">
              <w:rPr>
                <w:sz w:val="24"/>
                <w:szCs w:val="24"/>
              </w:rPr>
              <w:t xml:space="preserve">Adjusted R-square     </w:t>
            </w:r>
            <w:r w:rsidR="008A445B">
              <w:rPr>
                <w:sz w:val="24"/>
                <w:szCs w:val="24"/>
              </w:rPr>
              <w:t xml:space="preserve"> </w:t>
            </w:r>
            <w:r w:rsidRPr="00182BC9">
              <w:rPr>
                <w:sz w:val="24"/>
                <w:szCs w:val="24"/>
              </w:rPr>
              <w:t>0.</w:t>
            </w:r>
            <w:r w:rsidR="008A445B">
              <w:rPr>
                <w:sz w:val="24"/>
                <w:szCs w:val="24"/>
              </w:rPr>
              <w:t>2035</w:t>
            </w:r>
          </w:p>
        </w:tc>
        <w:tc>
          <w:tcPr>
            <w:tcW w:w="4671" w:type="dxa"/>
            <w:gridSpan w:val="3"/>
            <w:vAlign w:val="bottom"/>
          </w:tcPr>
          <w:p w14:paraId="790B43B8" w14:textId="77777777" w:rsidR="00182BC9" w:rsidRPr="00182BC9" w:rsidRDefault="00BC2F61" w:rsidP="00A34EE9">
            <w:pPr>
              <w:rPr>
                <w:color w:val="000000"/>
                <w:sz w:val="24"/>
                <w:szCs w:val="24"/>
              </w:rPr>
            </w:pPr>
            <w:r w:rsidRPr="00182BC9">
              <w:rPr>
                <w:color w:val="000000"/>
                <w:sz w:val="24"/>
                <w:szCs w:val="24"/>
              </w:rPr>
              <w:t>Prob. (F-statistic)                              0.00</w:t>
            </w:r>
            <w:r w:rsidR="008A445B">
              <w:rPr>
                <w:color w:val="000000"/>
                <w:sz w:val="24"/>
                <w:szCs w:val="24"/>
              </w:rPr>
              <w:t>02</w:t>
            </w:r>
          </w:p>
        </w:tc>
      </w:tr>
    </w:tbl>
    <w:p w14:paraId="54B06E55" w14:textId="77777777" w:rsidR="00182BC9" w:rsidRPr="00182BC9" w:rsidRDefault="00182BC9" w:rsidP="00182BC9">
      <w:pPr>
        <w:jc w:val="center"/>
        <w:rPr>
          <w:sz w:val="24"/>
          <w:szCs w:val="24"/>
          <w:lang w:val="en-ID"/>
        </w:rPr>
      </w:pPr>
    </w:p>
    <w:p w14:paraId="0F858C32" w14:textId="77777777" w:rsidR="008A445B" w:rsidRDefault="00BC2F61" w:rsidP="008A445B">
      <w:pPr>
        <w:ind w:firstLine="567"/>
        <w:jc w:val="both"/>
        <w:rPr>
          <w:sz w:val="24"/>
          <w:szCs w:val="24"/>
          <w:lang w:val="en-ID"/>
        </w:rPr>
      </w:pPr>
      <w:r w:rsidRPr="007E5A51">
        <w:rPr>
          <w:sz w:val="24"/>
          <w:szCs w:val="24"/>
        </w:rPr>
        <w:t>Based on Table 8 above, the regression equation used in this research is as follows</w:t>
      </w:r>
      <w:r w:rsidRPr="008A445B">
        <w:rPr>
          <w:sz w:val="24"/>
          <w:szCs w:val="24"/>
          <w:lang w:val="en-ID"/>
        </w:rPr>
        <w:t>:</w:t>
      </w:r>
    </w:p>
    <w:p w14:paraId="1160216D" w14:textId="77777777" w:rsidR="008A445B" w:rsidRDefault="008A445B" w:rsidP="008A445B">
      <w:pPr>
        <w:jc w:val="both"/>
        <w:rPr>
          <w:sz w:val="24"/>
          <w:szCs w:val="24"/>
          <w:lang w:val="en-ID"/>
        </w:rPr>
      </w:pPr>
    </w:p>
    <w:p w14:paraId="2FEEFC1C" w14:textId="77777777" w:rsidR="008A445B" w:rsidRPr="008A445B" w:rsidRDefault="00BC2F61" w:rsidP="008A445B">
      <w:pPr>
        <w:jc w:val="both"/>
        <w:rPr>
          <w:sz w:val="24"/>
          <w:szCs w:val="24"/>
          <w:lang w:val="en-ID"/>
        </w:rPr>
      </w:pPr>
      <w:r>
        <w:rPr>
          <w:sz w:val="24"/>
          <w:szCs w:val="24"/>
          <w:lang w:val="en-ID"/>
        </w:rPr>
        <w:t xml:space="preserve">ROA = 1.1682 + 0.0135*SIZE – 0.0117*DPK – 0.0016*KD + </w:t>
      </w:r>
      <w:r w:rsidRPr="008A445B">
        <w:rPr>
          <w:i/>
          <w:iCs/>
          <w:sz w:val="24"/>
          <w:szCs w:val="24"/>
          <w:lang w:val="en-ID"/>
        </w:rPr>
        <w:t>e</w:t>
      </w:r>
    </w:p>
    <w:p w14:paraId="7E4A89C5" w14:textId="77777777" w:rsidR="00182BC9" w:rsidRPr="00182BC9" w:rsidRDefault="00182BC9" w:rsidP="00182BC9">
      <w:pPr>
        <w:ind w:firstLine="567"/>
        <w:jc w:val="both"/>
        <w:rPr>
          <w:sz w:val="24"/>
          <w:szCs w:val="24"/>
        </w:rPr>
      </w:pPr>
    </w:p>
    <w:p w14:paraId="0C945556" w14:textId="77777777" w:rsidR="008D2463" w:rsidRPr="00B73410" w:rsidRDefault="00BC2F61" w:rsidP="008D2463">
      <w:pPr>
        <w:jc w:val="both"/>
        <w:rPr>
          <w:b/>
          <w:bCs/>
          <w:sz w:val="24"/>
          <w:szCs w:val="24"/>
        </w:rPr>
      </w:pPr>
      <w:r w:rsidRPr="007E5A51">
        <w:rPr>
          <w:b/>
          <w:bCs/>
          <w:sz w:val="24"/>
          <w:szCs w:val="24"/>
        </w:rPr>
        <w:t>Classical Assumption Test</w:t>
      </w:r>
    </w:p>
    <w:p w14:paraId="319A8701" w14:textId="56A566CB" w:rsidR="008D2463" w:rsidRDefault="00BC2F61" w:rsidP="00B73410">
      <w:pPr>
        <w:ind w:firstLine="567"/>
        <w:jc w:val="both"/>
        <w:rPr>
          <w:sz w:val="24"/>
          <w:szCs w:val="24"/>
          <w:lang w:val="en-ID"/>
        </w:rPr>
      </w:pPr>
      <w:r w:rsidRPr="007E5A51">
        <w:rPr>
          <w:sz w:val="24"/>
          <w:szCs w:val="24"/>
        </w:rPr>
        <w:t>The classical assumption test is conducted to evaluate whether the regression model meets the criteria for multicollinearity and heteroscedasticity. A regression model is considered good if it meets several classical assumptions, which aim to produce unbiased estimates and reliable tests</w:t>
      </w:r>
      <w:r w:rsidR="00B73410" w:rsidRPr="00B73410">
        <w:rPr>
          <w:sz w:val="24"/>
          <w:szCs w:val="24"/>
          <w:lang w:val="en-ID"/>
        </w:rPr>
        <w:t xml:space="preserve"> </w:t>
      </w:r>
      <w:r w:rsidR="00B73410">
        <w:rPr>
          <w:sz w:val="24"/>
          <w:szCs w:val="24"/>
          <w:lang w:val="en-ID"/>
        </w:rPr>
        <w:fldChar w:fldCharType="begin" w:fldLock="1"/>
      </w:r>
      <w:r w:rsidR="0098769F">
        <w:rPr>
          <w:sz w:val="24"/>
          <w:szCs w:val="24"/>
          <w:lang w:val="en-ID"/>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2011)","author":[{"dropping-particle":"","family":"Sugiyono","given":"Sugiyono","non-dropping-particle":"","parse-names":false,"suffix":""}],"container-title":"ALFABETA","id":"ITEM-1","issued":{"date-parts":[["2017"]]},"title":"Metode Penelitian Kuantitatif, Kualitatif Dan R &amp; D","type":"article-journal"},"uris":["http://www.mendeley.com/documents/?uuid=d0269968-96f0-42b0-a874-a69acfc5706a"]}],"mendeley":{"formattedCitation":"(Sugiyono, 2017)","plainTextFormattedCitation":"(Sugiyono, 2017)","previouslyFormattedCitation":"(Sugiyono, 2017)"},"properties":{"noteIndex":0},"schema":"https://github.com/citation-style-language/schema/raw/master/csl-citation.json"}</w:instrText>
      </w:r>
      <w:r w:rsidR="00B73410">
        <w:rPr>
          <w:sz w:val="24"/>
          <w:szCs w:val="24"/>
          <w:lang w:val="en-ID"/>
        </w:rPr>
        <w:fldChar w:fldCharType="separate"/>
      </w:r>
      <w:r w:rsidR="00B73410" w:rsidRPr="00B73410">
        <w:rPr>
          <w:noProof/>
          <w:sz w:val="24"/>
          <w:szCs w:val="24"/>
          <w:lang w:val="en-ID"/>
        </w:rPr>
        <w:t>(Sugiyono, 2017)</w:t>
      </w:r>
      <w:r w:rsidR="00B73410">
        <w:rPr>
          <w:sz w:val="24"/>
          <w:szCs w:val="24"/>
          <w:lang w:val="en-ID"/>
        </w:rPr>
        <w:fldChar w:fldCharType="end"/>
      </w:r>
      <w:r w:rsidR="00B73410">
        <w:rPr>
          <w:sz w:val="24"/>
          <w:szCs w:val="24"/>
          <w:lang w:val="en-ID"/>
        </w:rPr>
        <w:t xml:space="preserve">. </w:t>
      </w:r>
      <w:r w:rsidRPr="007E5A51">
        <w:rPr>
          <w:sz w:val="24"/>
          <w:szCs w:val="24"/>
        </w:rPr>
        <w:t>Below are the results of the normality test</w:t>
      </w:r>
      <w:r w:rsidR="00B73410" w:rsidRPr="00B73410">
        <w:rPr>
          <w:sz w:val="24"/>
          <w:szCs w:val="24"/>
          <w:lang w:val="en-ID"/>
        </w:rPr>
        <w:t>:</w:t>
      </w:r>
    </w:p>
    <w:p w14:paraId="103A0523" w14:textId="77777777" w:rsidR="00B73410" w:rsidRDefault="00B73410" w:rsidP="00B73410">
      <w:pPr>
        <w:jc w:val="both"/>
        <w:rPr>
          <w:sz w:val="24"/>
          <w:szCs w:val="24"/>
          <w:lang w:val="en-ID"/>
        </w:rPr>
      </w:pPr>
    </w:p>
    <w:p w14:paraId="1CE3C60A" w14:textId="77777777" w:rsidR="00B73410" w:rsidRDefault="00BC2F61" w:rsidP="00B73410">
      <w:pPr>
        <w:jc w:val="center"/>
        <w:rPr>
          <w:sz w:val="24"/>
          <w:szCs w:val="24"/>
          <w:lang w:val="en-ID"/>
        </w:rPr>
      </w:pPr>
      <w:r>
        <w:rPr>
          <w:b/>
          <w:bCs/>
          <w:sz w:val="24"/>
          <w:szCs w:val="24"/>
          <w:lang w:val="en-ID"/>
        </w:rPr>
        <w:t>Ta</w:t>
      </w:r>
      <w:r w:rsidR="007E5A51">
        <w:rPr>
          <w:b/>
          <w:bCs/>
          <w:sz w:val="24"/>
          <w:szCs w:val="24"/>
          <w:lang w:val="en-ID"/>
        </w:rPr>
        <w:t>ble</w:t>
      </w:r>
      <w:r>
        <w:rPr>
          <w:b/>
          <w:bCs/>
          <w:sz w:val="24"/>
          <w:szCs w:val="24"/>
          <w:lang w:val="en-ID"/>
        </w:rPr>
        <w:t xml:space="preserve"> 8. </w:t>
      </w:r>
      <w:r w:rsidR="007E5A51" w:rsidRPr="007E5A51">
        <w:rPr>
          <w:sz w:val="24"/>
          <w:szCs w:val="24"/>
          <w:lang w:val="en-ID"/>
        </w:rPr>
        <w:t>Multicollinearity test results</w:t>
      </w:r>
    </w:p>
    <w:tbl>
      <w:tblPr>
        <w:tblW w:w="6232" w:type="dxa"/>
        <w:jc w:val="center"/>
        <w:tblLook w:val="04A0" w:firstRow="1" w:lastRow="0" w:firstColumn="1" w:lastColumn="0" w:noHBand="0" w:noVBand="1"/>
      </w:tblPr>
      <w:tblGrid>
        <w:gridCol w:w="1271"/>
        <w:gridCol w:w="1587"/>
        <w:gridCol w:w="1673"/>
        <w:gridCol w:w="1701"/>
      </w:tblGrid>
      <w:tr w:rsidR="000B5092" w14:paraId="3B0B93D1" w14:textId="77777777" w:rsidTr="00B73410">
        <w:trPr>
          <w:trHeight w:val="31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13B8E" w14:textId="77777777" w:rsidR="00B73410" w:rsidRPr="00B9607F" w:rsidRDefault="00BC2F61" w:rsidP="00A34EE9">
            <w:pPr>
              <w:jc w:val="center"/>
              <w:rPr>
                <w:color w:val="000000"/>
                <w:lang w:eastAsia="en-ID"/>
              </w:rPr>
            </w:pPr>
            <w:r w:rsidRPr="00B9607F">
              <w:rPr>
                <w:color w:val="000000"/>
                <w:lang w:eastAsia="en-ID"/>
              </w:rPr>
              <w:t> </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14:paraId="20C6B332" w14:textId="77777777" w:rsidR="00B73410" w:rsidRPr="00B9607F" w:rsidRDefault="00BC2F61" w:rsidP="00A34EE9">
            <w:pPr>
              <w:jc w:val="center"/>
              <w:rPr>
                <w:color w:val="000000"/>
                <w:lang w:eastAsia="en-ID"/>
              </w:rPr>
            </w:pPr>
            <w:r>
              <w:rPr>
                <w:sz w:val="24"/>
                <w:szCs w:val="24"/>
              </w:rPr>
              <w:t>Size (X</w:t>
            </w:r>
            <w:r>
              <w:rPr>
                <w:sz w:val="24"/>
                <w:szCs w:val="24"/>
                <w:vertAlign w:val="subscript"/>
              </w:rPr>
              <w:t>1</w:t>
            </w:r>
            <w:r>
              <w:rPr>
                <w:sz w:val="24"/>
                <w:szCs w:val="24"/>
              </w:rPr>
              <w:t>)</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01D53B44" w14:textId="77777777" w:rsidR="00B73410" w:rsidRPr="00B9607F" w:rsidRDefault="00BC2F61" w:rsidP="00A34EE9">
            <w:pPr>
              <w:jc w:val="center"/>
              <w:rPr>
                <w:color w:val="000000"/>
                <w:lang w:eastAsia="en-ID"/>
              </w:rPr>
            </w:pPr>
            <w:r>
              <w:rPr>
                <w:sz w:val="24"/>
                <w:szCs w:val="24"/>
              </w:rPr>
              <w:t>DPK (X</w:t>
            </w:r>
            <w:r>
              <w:rPr>
                <w:sz w:val="24"/>
                <w:szCs w:val="24"/>
                <w:vertAlign w:val="subscript"/>
              </w:rPr>
              <w:t>2</w:t>
            </w:r>
            <w:r>
              <w:rPr>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C4F58B9" w14:textId="77777777" w:rsidR="00B73410" w:rsidRPr="00B9607F" w:rsidRDefault="00BC2F61" w:rsidP="00A34EE9">
            <w:pPr>
              <w:jc w:val="center"/>
              <w:rPr>
                <w:color w:val="000000"/>
                <w:lang w:eastAsia="en-ID"/>
              </w:rPr>
            </w:pPr>
            <w:r>
              <w:rPr>
                <w:sz w:val="24"/>
                <w:szCs w:val="24"/>
              </w:rPr>
              <w:t>KD (X</w:t>
            </w:r>
            <w:r>
              <w:rPr>
                <w:sz w:val="24"/>
                <w:szCs w:val="24"/>
                <w:vertAlign w:val="subscript"/>
              </w:rPr>
              <w:t>3</w:t>
            </w:r>
            <w:r>
              <w:rPr>
                <w:sz w:val="24"/>
                <w:szCs w:val="24"/>
              </w:rPr>
              <w:t>)</w:t>
            </w:r>
          </w:p>
        </w:tc>
      </w:tr>
      <w:tr w:rsidR="000B5092" w14:paraId="1F9030D2" w14:textId="77777777" w:rsidTr="00B73410">
        <w:trPr>
          <w:trHeight w:val="3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63284FA" w14:textId="77777777" w:rsidR="00B73410" w:rsidRPr="00B9607F" w:rsidRDefault="00BC2F61" w:rsidP="00B73410">
            <w:pPr>
              <w:rPr>
                <w:color w:val="000000"/>
                <w:lang w:eastAsia="en-ID"/>
              </w:rPr>
            </w:pPr>
            <w:r>
              <w:rPr>
                <w:sz w:val="24"/>
                <w:szCs w:val="24"/>
              </w:rPr>
              <w:t>Size (X</w:t>
            </w:r>
            <w:r>
              <w:rPr>
                <w:sz w:val="24"/>
                <w:szCs w:val="24"/>
                <w:vertAlign w:val="subscript"/>
              </w:rPr>
              <w:t>1</w:t>
            </w:r>
            <w:r>
              <w:rPr>
                <w:sz w:val="24"/>
                <w:szCs w:val="24"/>
              </w:rPr>
              <w:t>)</w:t>
            </w:r>
          </w:p>
        </w:tc>
        <w:tc>
          <w:tcPr>
            <w:tcW w:w="1587" w:type="dxa"/>
            <w:tcBorders>
              <w:top w:val="nil"/>
              <w:left w:val="nil"/>
              <w:bottom w:val="single" w:sz="4" w:space="0" w:color="auto"/>
              <w:right w:val="single" w:sz="4" w:space="0" w:color="auto"/>
            </w:tcBorders>
            <w:shd w:val="clear" w:color="auto" w:fill="auto"/>
            <w:noWrap/>
            <w:vAlign w:val="bottom"/>
            <w:hideMark/>
          </w:tcPr>
          <w:p w14:paraId="1B2452AC" w14:textId="77777777" w:rsidR="00B73410" w:rsidRPr="00B9607F" w:rsidRDefault="00BC2F61" w:rsidP="00B73410">
            <w:pPr>
              <w:jc w:val="center"/>
              <w:rPr>
                <w:color w:val="000000"/>
                <w:lang w:eastAsia="en-ID"/>
              </w:rPr>
            </w:pPr>
            <w:r w:rsidRPr="00B9607F">
              <w:rPr>
                <w:color w:val="000000"/>
                <w:lang w:eastAsia="en-ID"/>
              </w:rPr>
              <w:t>1</w:t>
            </w:r>
            <w:r>
              <w:rPr>
                <w:color w:val="000000"/>
                <w:lang w:eastAsia="en-ID"/>
              </w:rPr>
              <w:t>.000000</w:t>
            </w:r>
          </w:p>
        </w:tc>
        <w:tc>
          <w:tcPr>
            <w:tcW w:w="1673" w:type="dxa"/>
            <w:tcBorders>
              <w:top w:val="nil"/>
              <w:left w:val="nil"/>
              <w:bottom w:val="single" w:sz="4" w:space="0" w:color="auto"/>
              <w:right w:val="single" w:sz="4" w:space="0" w:color="auto"/>
            </w:tcBorders>
            <w:shd w:val="clear" w:color="auto" w:fill="auto"/>
            <w:noWrap/>
            <w:vAlign w:val="bottom"/>
            <w:hideMark/>
          </w:tcPr>
          <w:p w14:paraId="5B8460E2" w14:textId="77777777" w:rsidR="00B73410" w:rsidRPr="00B9607F" w:rsidRDefault="00BC2F61" w:rsidP="00B73410">
            <w:pPr>
              <w:jc w:val="center"/>
              <w:rPr>
                <w:color w:val="000000"/>
                <w:lang w:eastAsia="en-ID"/>
              </w:rPr>
            </w:pPr>
            <w:r w:rsidRPr="00B9607F">
              <w:rPr>
                <w:color w:val="000000"/>
                <w:lang w:eastAsia="en-ID"/>
              </w:rPr>
              <w:t>0.753977</w:t>
            </w:r>
          </w:p>
        </w:tc>
        <w:tc>
          <w:tcPr>
            <w:tcW w:w="1701" w:type="dxa"/>
            <w:tcBorders>
              <w:top w:val="nil"/>
              <w:left w:val="nil"/>
              <w:bottom w:val="single" w:sz="4" w:space="0" w:color="auto"/>
              <w:right w:val="single" w:sz="4" w:space="0" w:color="auto"/>
            </w:tcBorders>
            <w:shd w:val="clear" w:color="auto" w:fill="auto"/>
            <w:noWrap/>
            <w:vAlign w:val="bottom"/>
            <w:hideMark/>
          </w:tcPr>
          <w:p w14:paraId="00859420" w14:textId="77777777" w:rsidR="00B73410" w:rsidRPr="00B9607F" w:rsidRDefault="00BC2F61" w:rsidP="00B73410">
            <w:pPr>
              <w:jc w:val="center"/>
              <w:rPr>
                <w:color w:val="000000"/>
                <w:lang w:eastAsia="en-ID"/>
              </w:rPr>
            </w:pPr>
            <w:r w:rsidRPr="00B9607F">
              <w:rPr>
                <w:color w:val="000000"/>
                <w:lang w:eastAsia="en-ID"/>
              </w:rPr>
              <w:t>-0.240609</w:t>
            </w:r>
          </w:p>
        </w:tc>
      </w:tr>
      <w:tr w:rsidR="000B5092" w14:paraId="1B111CDE" w14:textId="77777777" w:rsidTr="00B73410">
        <w:trPr>
          <w:trHeight w:val="3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9ADADAC" w14:textId="77777777" w:rsidR="00B73410" w:rsidRPr="00B9607F" w:rsidRDefault="00BC2F61" w:rsidP="00B73410">
            <w:pPr>
              <w:rPr>
                <w:color w:val="000000"/>
                <w:lang w:eastAsia="en-ID"/>
              </w:rPr>
            </w:pPr>
            <w:r>
              <w:rPr>
                <w:sz w:val="24"/>
                <w:szCs w:val="24"/>
              </w:rPr>
              <w:t>DPK (X</w:t>
            </w:r>
            <w:r>
              <w:rPr>
                <w:sz w:val="24"/>
                <w:szCs w:val="24"/>
                <w:vertAlign w:val="subscript"/>
              </w:rPr>
              <w:t>2</w:t>
            </w:r>
            <w:r>
              <w:rPr>
                <w:sz w:val="24"/>
                <w:szCs w:val="24"/>
              </w:rPr>
              <w:t>)</w:t>
            </w:r>
          </w:p>
        </w:tc>
        <w:tc>
          <w:tcPr>
            <w:tcW w:w="1587" w:type="dxa"/>
            <w:tcBorders>
              <w:top w:val="nil"/>
              <w:left w:val="nil"/>
              <w:bottom w:val="single" w:sz="4" w:space="0" w:color="auto"/>
              <w:right w:val="single" w:sz="4" w:space="0" w:color="auto"/>
            </w:tcBorders>
            <w:shd w:val="clear" w:color="auto" w:fill="auto"/>
            <w:noWrap/>
            <w:vAlign w:val="bottom"/>
            <w:hideMark/>
          </w:tcPr>
          <w:p w14:paraId="16EC8C78" w14:textId="77777777" w:rsidR="00B73410" w:rsidRPr="00B9607F" w:rsidRDefault="00BC2F61" w:rsidP="00B73410">
            <w:pPr>
              <w:jc w:val="center"/>
              <w:rPr>
                <w:color w:val="000000"/>
                <w:lang w:eastAsia="en-ID"/>
              </w:rPr>
            </w:pPr>
            <w:r w:rsidRPr="00B9607F">
              <w:rPr>
                <w:color w:val="000000"/>
                <w:lang w:eastAsia="en-ID"/>
              </w:rPr>
              <w:t>0.753977</w:t>
            </w:r>
          </w:p>
        </w:tc>
        <w:tc>
          <w:tcPr>
            <w:tcW w:w="1673" w:type="dxa"/>
            <w:tcBorders>
              <w:top w:val="nil"/>
              <w:left w:val="nil"/>
              <w:bottom w:val="single" w:sz="4" w:space="0" w:color="auto"/>
              <w:right w:val="single" w:sz="4" w:space="0" w:color="auto"/>
            </w:tcBorders>
            <w:shd w:val="clear" w:color="auto" w:fill="auto"/>
            <w:noWrap/>
            <w:vAlign w:val="bottom"/>
            <w:hideMark/>
          </w:tcPr>
          <w:p w14:paraId="0BD5A5E6" w14:textId="77777777" w:rsidR="00B73410" w:rsidRPr="00B9607F" w:rsidRDefault="00BC2F61" w:rsidP="00B73410">
            <w:pPr>
              <w:jc w:val="center"/>
              <w:rPr>
                <w:color w:val="000000"/>
                <w:lang w:eastAsia="en-ID"/>
              </w:rPr>
            </w:pPr>
            <w:r w:rsidRPr="00B9607F">
              <w:rPr>
                <w:color w:val="000000"/>
                <w:lang w:eastAsia="en-ID"/>
              </w:rPr>
              <w:t>1</w:t>
            </w:r>
            <w:r>
              <w:rPr>
                <w:color w:val="000000"/>
                <w:lang w:eastAsia="en-ID"/>
              </w:rPr>
              <w:t>.000000</w:t>
            </w:r>
          </w:p>
        </w:tc>
        <w:tc>
          <w:tcPr>
            <w:tcW w:w="1701" w:type="dxa"/>
            <w:tcBorders>
              <w:top w:val="nil"/>
              <w:left w:val="nil"/>
              <w:bottom w:val="single" w:sz="4" w:space="0" w:color="auto"/>
              <w:right w:val="single" w:sz="4" w:space="0" w:color="auto"/>
            </w:tcBorders>
            <w:shd w:val="clear" w:color="auto" w:fill="auto"/>
            <w:noWrap/>
            <w:vAlign w:val="bottom"/>
            <w:hideMark/>
          </w:tcPr>
          <w:p w14:paraId="1E4A14EA" w14:textId="77777777" w:rsidR="00B73410" w:rsidRPr="00B9607F" w:rsidRDefault="00BC2F61" w:rsidP="00B73410">
            <w:pPr>
              <w:jc w:val="center"/>
              <w:rPr>
                <w:color w:val="000000"/>
                <w:lang w:eastAsia="en-ID"/>
              </w:rPr>
            </w:pPr>
            <w:r w:rsidRPr="00B9607F">
              <w:rPr>
                <w:color w:val="000000"/>
                <w:lang w:eastAsia="en-ID"/>
              </w:rPr>
              <w:t>-0.181162</w:t>
            </w:r>
          </w:p>
        </w:tc>
      </w:tr>
      <w:tr w:rsidR="000B5092" w14:paraId="0991603F" w14:textId="77777777" w:rsidTr="00B73410">
        <w:trPr>
          <w:trHeight w:val="3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A8D2B8A" w14:textId="77777777" w:rsidR="00B73410" w:rsidRPr="00B9607F" w:rsidRDefault="00BC2F61" w:rsidP="00B73410">
            <w:pPr>
              <w:rPr>
                <w:color w:val="000000"/>
                <w:lang w:eastAsia="en-ID"/>
              </w:rPr>
            </w:pPr>
            <w:r>
              <w:rPr>
                <w:sz w:val="24"/>
                <w:szCs w:val="24"/>
              </w:rPr>
              <w:t>KD (X</w:t>
            </w:r>
            <w:r>
              <w:rPr>
                <w:sz w:val="24"/>
                <w:szCs w:val="24"/>
                <w:vertAlign w:val="subscript"/>
              </w:rPr>
              <w:t>3</w:t>
            </w:r>
            <w:r>
              <w:rPr>
                <w:sz w:val="24"/>
                <w:szCs w:val="24"/>
              </w:rPr>
              <w:t>)</w:t>
            </w:r>
          </w:p>
        </w:tc>
        <w:tc>
          <w:tcPr>
            <w:tcW w:w="1587" w:type="dxa"/>
            <w:tcBorders>
              <w:top w:val="nil"/>
              <w:left w:val="nil"/>
              <w:bottom w:val="single" w:sz="4" w:space="0" w:color="auto"/>
              <w:right w:val="single" w:sz="4" w:space="0" w:color="auto"/>
            </w:tcBorders>
            <w:shd w:val="clear" w:color="auto" w:fill="auto"/>
            <w:noWrap/>
            <w:vAlign w:val="bottom"/>
            <w:hideMark/>
          </w:tcPr>
          <w:p w14:paraId="14CC447F" w14:textId="77777777" w:rsidR="00B73410" w:rsidRPr="00B9607F" w:rsidRDefault="00BC2F61" w:rsidP="00B73410">
            <w:pPr>
              <w:jc w:val="center"/>
              <w:rPr>
                <w:color w:val="000000"/>
                <w:lang w:eastAsia="en-ID"/>
              </w:rPr>
            </w:pPr>
            <w:r w:rsidRPr="00B9607F">
              <w:rPr>
                <w:color w:val="000000"/>
                <w:lang w:eastAsia="en-ID"/>
              </w:rPr>
              <w:t>-0.240609</w:t>
            </w:r>
          </w:p>
        </w:tc>
        <w:tc>
          <w:tcPr>
            <w:tcW w:w="1673" w:type="dxa"/>
            <w:tcBorders>
              <w:top w:val="nil"/>
              <w:left w:val="nil"/>
              <w:bottom w:val="single" w:sz="4" w:space="0" w:color="auto"/>
              <w:right w:val="single" w:sz="4" w:space="0" w:color="auto"/>
            </w:tcBorders>
            <w:shd w:val="clear" w:color="auto" w:fill="auto"/>
            <w:noWrap/>
            <w:vAlign w:val="bottom"/>
            <w:hideMark/>
          </w:tcPr>
          <w:p w14:paraId="7B6C7D3F" w14:textId="77777777" w:rsidR="00B73410" w:rsidRPr="00B9607F" w:rsidRDefault="00BC2F61" w:rsidP="00B73410">
            <w:pPr>
              <w:jc w:val="center"/>
              <w:rPr>
                <w:color w:val="000000"/>
                <w:lang w:eastAsia="en-ID"/>
              </w:rPr>
            </w:pPr>
            <w:r w:rsidRPr="00B9607F">
              <w:rPr>
                <w:color w:val="000000"/>
                <w:lang w:eastAsia="en-ID"/>
              </w:rPr>
              <w:t>-0.181162</w:t>
            </w:r>
          </w:p>
        </w:tc>
        <w:tc>
          <w:tcPr>
            <w:tcW w:w="1701" w:type="dxa"/>
            <w:tcBorders>
              <w:top w:val="nil"/>
              <w:left w:val="nil"/>
              <w:bottom w:val="single" w:sz="4" w:space="0" w:color="auto"/>
              <w:right w:val="single" w:sz="4" w:space="0" w:color="auto"/>
            </w:tcBorders>
            <w:shd w:val="clear" w:color="auto" w:fill="auto"/>
            <w:noWrap/>
            <w:vAlign w:val="bottom"/>
            <w:hideMark/>
          </w:tcPr>
          <w:p w14:paraId="0C0DD42C" w14:textId="77777777" w:rsidR="00B73410" w:rsidRPr="00B9607F" w:rsidRDefault="00BC2F61" w:rsidP="00B73410">
            <w:pPr>
              <w:jc w:val="center"/>
              <w:rPr>
                <w:color w:val="000000"/>
                <w:lang w:eastAsia="en-ID"/>
              </w:rPr>
            </w:pPr>
            <w:r w:rsidRPr="00B9607F">
              <w:rPr>
                <w:color w:val="000000"/>
                <w:lang w:eastAsia="en-ID"/>
              </w:rPr>
              <w:t>1</w:t>
            </w:r>
            <w:r>
              <w:rPr>
                <w:color w:val="000000"/>
                <w:lang w:eastAsia="en-ID"/>
              </w:rPr>
              <w:t>.000000</w:t>
            </w:r>
          </w:p>
        </w:tc>
      </w:tr>
    </w:tbl>
    <w:p w14:paraId="29261692" w14:textId="77777777" w:rsidR="00B73410" w:rsidRPr="00B73410" w:rsidRDefault="00B73410" w:rsidP="00B73410">
      <w:pPr>
        <w:jc w:val="center"/>
        <w:rPr>
          <w:sz w:val="24"/>
          <w:szCs w:val="24"/>
        </w:rPr>
      </w:pPr>
    </w:p>
    <w:p w14:paraId="353CB608" w14:textId="77777777" w:rsidR="00B73410" w:rsidRPr="00B73410" w:rsidRDefault="00BC2F61" w:rsidP="007E5A51">
      <w:pPr>
        <w:ind w:firstLine="567"/>
        <w:jc w:val="both"/>
        <w:rPr>
          <w:sz w:val="24"/>
          <w:szCs w:val="24"/>
          <w:lang w:val="en-ID"/>
        </w:rPr>
      </w:pPr>
      <w:r w:rsidRPr="007E5A51">
        <w:rPr>
          <w:sz w:val="24"/>
          <w:szCs w:val="24"/>
          <w:lang w:val="en"/>
        </w:rPr>
        <w:t>Based on the results of the test above, it can be seen that the value of the independent variable is more minor than (&lt;0.90), which can be concluded that the independent variable does not have symptoms of multicollinearity</w:t>
      </w:r>
      <w:r w:rsidRPr="00B73410">
        <w:rPr>
          <w:sz w:val="24"/>
          <w:szCs w:val="24"/>
          <w:lang w:val="en-ID"/>
        </w:rPr>
        <w:t>.</w:t>
      </w:r>
    </w:p>
    <w:p w14:paraId="75202652" w14:textId="77777777" w:rsidR="00B73410" w:rsidRDefault="00BC2F61" w:rsidP="007E5A51">
      <w:pPr>
        <w:ind w:firstLine="567"/>
        <w:jc w:val="both"/>
        <w:rPr>
          <w:sz w:val="24"/>
          <w:szCs w:val="24"/>
          <w:lang w:val="en-ID"/>
        </w:rPr>
      </w:pPr>
      <w:r w:rsidRPr="007E5A51">
        <w:rPr>
          <w:sz w:val="24"/>
          <w:szCs w:val="24"/>
          <w:lang w:val="en"/>
        </w:rPr>
        <w:t>Next, the second test was the heteroscedasticity test. The following are the results of the heteroscedasticity test</w:t>
      </w:r>
      <w:r w:rsidRPr="00B73410">
        <w:rPr>
          <w:sz w:val="24"/>
          <w:szCs w:val="24"/>
          <w:lang w:val="en-ID"/>
        </w:rPr>
        <w:t>:</w:t>
      </w:r>
    </w:p>
    <w:p w14:paraId="6D6B1AB0" w14:textId="77777777" w:rsidR="00B73410" w:rsidRDefault="00B73410" w:rsidP="00B73410">
      <w:pPr>
        <w:ind w:firstLine="567"/>
        <w:jc w:val="both"/>
        <w:rPr>
          <w:sz w:val="24"/>
          <w:szCs w:val="24"/>
          <w:lang w:val="en-ID"/>
        </w:rPr>
      </w:pPr>
    </w:p>
    <w:p w14:paraId="40EBB85D" w14:textId="77777777" w:rsidR="00B73410" w:rsidRDefault="00BC2F61" w:rsidP="00B73410">
      <w:pPr>
        <w:jc w:val="center"/>
        <w:rPr>
          <w:sz w:val="24"/>
          <w:szCs w:val="24"/>
          <w:lang w:val="en-ID"/>
        </w:rPr>
      </w:pPr>
      <w:r>
        <w:rPr>
          <w:b/>
          <w:bCs/>
          <w:sz w:val="24"/>
          <w:szCs w:val="24"/>
          <w:lang w:val="en-ID"/>
        </w:rPr>
        <w:t>Ta</w:t>
      </w:r>
      <w:r w:rsidR="007C1B52">
        <w:rPr>
          <w:b/>
          <w:bCs/>
          <w:sz w:val="24"/>
          <w:szCs w:val="24"/>
          <w:lang w:val="en-ID"/>
        </w:rPr>
        <w:t>ble</w:t>
      </w:r>
      <w:r>
        <w:rPr>
          <w:b/>
          <w:bCs/>
          <w:sz w:val="24"/>
          <w:szCs w:val="24"/>
          <w:lang w:val="en-ID"/>
        </w:rPr>
        <w:t xml:space="preserve"> 9. </w:t>
      </w:r>
      <w:r w:rsidR="007E5A51">
        <w:rPr>
          <w:sz w:val="24"/>
          <w:szCs w:val="24"/>
          <w:lang w:val="en"/>
        </w:rPr>
        <w:t>H</w:t>
      </w:r>
      <w:r w:rsidR="007E5A51" w:rsidRPr="007E5A51">
        <w:rPr>
          <w:sz w:val="24"/>
          <w:szCs w:val="24"/>
          <w:lang w:val="en"/>
        </w:rPr>
        <w:t>eteroscedasticity</w:t>
      </w:r>
      <w:r w:rsidR="007E5A51">
        <w:rPr>
          <w:sz w:val="24"/>
          <w:szCs w:val="24"/>
          <w:lang w:val="en"/>
        </w:rPr>
        <w:t xml:space="preserve"> test results</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920"/>
        <w:gridCol w:w="1199"/>
        <w:gridCol w:w="1150"/>
        <w:gridCol w:w="1150"/>
        <w:gridCol w:w="950"/>
      </w:tblGrid>
      <w:tr w:rsidR="000B5092" w14:paraId="5ECFDB88" w14:textId="77777777" w:rsidTr="00B73410">
        <w:trPr>
          <w:trHeight w:val="220"/>
          <w:jc w:val="center"/>
        </w:trPr>
        <w:tc>
          <w:tcPr>
            <w:tcW w:w="1920" w:type="dxa"/>
            <w:vAlign w:val="bottom"/>
          </w:tcPr>
          <w:p w14:paraId="2E0CAD50" w14:textId="77777777" w:rsidR="00B73410" w:rsidRPr="0091708F" w:rsidRDefault="00BC2F61" w:rsidP="00A34EE9">
            <w:pPr>
              <w:spacing w:line="360" w:lineRule="auto"/>
              <w:jc w:val="center"/>
              <w:rPr>
                <w:sz w:val="24"/>
                <w:szCs w:val="24"/>
              </w:rPr>
            </w:pPr>
            <w:r w:rsidRPr="0091708F">
              <w:rPr>
                <w:sz w:val="24"/>
                <w:szCs w:val="24"/>
              </w:rPr>
              <w:t>Variable</w:t>
            </w:r>
          </w:p>
        </w:tc>
        <w:tc>
          <w:tcPr>
            <w:tcW w:w="1199" w:type="dxa"/>
            <w:vAlign w:val="bottom"/>
          </w:tcPr>
          <w:p w14:paraId="3761B49F" w14:textId="77777777" w:rsidR="00B73410" w:rsidRPr="0091708F" w:rsidRDefault="00BC2F61" w:rsidP="00A34EE9">
            <w:pPr>
              <w:spacing w:line="360" w:lineRule="auto"/>
              <w:jc w:val="center"/>
              <w:rPr>
                <w:sz w:val="24"/>
                <w:szCs w:val="24"/>
              </w:rPr>
            </w:pPr>
            <w:r w:rsidRPr="0091708F">
              <w:rPr>
                <w:sz w:val="24"/>
                <w:szCs w:val="24"/>
              </w:rPr>
              <w:t>Coefficient</w:t>
            </w:r>
          </w:p>
        </w:tc>
        <w:tc>
          <w:tcPr>
            <w:tcW w:w="1150" w:type="dxa"/>
            <w:vAlign w:val="bottom"/>
          </w:tcPr>
          <w:p w14:paraId="3A5B1A71" w14:textId="77777777" w:rsidR="00B73410" w:rsidRPr="0091708F" w:rsidRDefault="00BC2F61" w:rsidP="00A34EE9">
            <w:pPr>
              <w:spacing w:line="360" w:lineRule="auto"/>
              <w:jc w:val="center"/>
              <w:rPr>
                <w:sz w:val="24"/>
                <w:szCs w:val="24"/>
              </w:rPr>
            </w:pPr>
            <w:r w:rsidRPr="0091708F">
              <w:rPr>
                <w:sz w:val="24"/>
                <w:szCs w:val="24"/>
              </w:rPr>
              <w:t>Std. Error</w:t>
            </w:r>
          </w:p>
        </w:tc>
        <w:tc>
          <w:tcPr>
            <w:tcW w:w="1150" w:type="dxa"/>
            <w:vAlign w:val="bottom"/>
          </w:tcPr>
          <w:p w14:paraId="5412435B" w14:textId="77777777" w:rsidR="00B73410" w:rsidRPr="0091708F" w:rsidRDefault="00BC2F61" w:rsidP="00A34EE9">
            <w:pPr>
              <w:spacing w:line="360" w:lineRule="auto"/>
              <w:jc w:val="center"/>
              <w:rPr>
                <w:sz w:val="24"/>
                <w:szCs w:val="24"/>
              </w:rPr>
            </w:pPr>
            <w:r w:rsidRPr="0091708F">
              <w:rPr>
                <w:sz w:val="24"/>
                <w:szCs w:val="24"/>
              </w:rPr>
              <w:t>t-Statistic</w:t>
            </w:r>
          </w:p>
        </w:tc>
        <w:tc>
          <w:tcPr>
            <w:tcW w:w="950" w:type="dxa"/>
            <w:vAlign w:val="bottom"/>
          </w:tcPr>
          <w:p w14:paraId="5BAEDFE3" w14:textId="77777777" w:rsidR="00B73410" w:rsidRPr="0091708F" w:rsidRDefault="00BC2F61" w:rsidP="00A34EE9">
            <w:pPr>
              <w:spacing w:line="360" w:lineRule="auto"/>
              <w:jc w:val="center"/>
              <w:rPr>
                <w:sz w:val="24"/>
                <w:szCs w:val="24"/>
              </w:rPr>
            </w:pPr>
            <w:r w:rsidRPr="0091708F">
              <w:rPr>
                <w:sz w:val="24"/>
                <w:szCs w:val="24"/>
              </w:rPr>
              <w:t>Prob.  </w:t>
            </w:r>
          </w:p>
        </w:tc>
      </w:tr>
      <w:tr w:rsidR="000B5092" w14:paraId="057D5CB7" w14:textId="77777777" w:rsidTr="00B73410">
        <w:trPr>
          <w:trHeight w:val="220"/>
          <w:jc w:val="center"/>
        </w:trPr>
        <w:tc>
          <w:tcPr>
            <w:tcW w:w="1920" w:type="dxa"/>
            <w:vAlign w:val="bottom"/>
          </w:tcPr>
          <w:p w14:paraId="6725E8F7" w14:textId="77777777" w:rsidR="00B73410" w:rsidRPr="0091708F" w:rsidRDefault="00BC2F61" w:rsidP="00A34EE9">
            <w:pPr>
              <w:spacing w:line="360" w:lineRule="auto"/>
              <w:jc w:val="center"/>
              <w:rPr>
                <w:sz w:val="24"/>
                <w:szCs w:val="24"/>
              </w:rPr>
            </w:pPr>
            <w:r w:rsidRPr="0091708F">
              <w:rPr>
                <w:sz w:val="24"/>
                <w:szCs w:val="24"/>
              </w:rPr>
              <w:t>C</w:t>
            </w:r>
          </w:p>
        </w:tc>
        <w:tc>
          <w:tcPr>
            <w:tcW w:w="1199" w:type="dxa"/>
            <w:vAlign w:val="bottom"/>
          </w:tcPr>
          <w:p w14:paraId="34672F89" w14:textId="77777777" w:rsidR="00B73410" w:rsidRPr="0091708F" w:rsidRDefault="00BC2F61" w:rsidP="00A34EE9">
            <w:pPr>
              <w:spacing w:line="360" w:lineRule="auto"/>
              <w:jc w:val="center"/>
              <w:rPr>
                <w:sz w:val="24"/>
                <w:szCs w:val="24"/>
              </w:rPr>
            </w:pPr>
            <w:r w:rsidRPr="0091708F">
              <w:rPr>
                <w:sz w:val="24"/>
                <w:szCs w:val="24"/>
              </w:rPr>
              <w:t>0.542344</w:t>
            </w:r>
          </w:p>
        </w:tc>
        <w:tc>
          <w:tcPr>
            <w:tcW w:w="1150" w:type="dxa"/>
            <w:vAlign w:val="bottom"/>
          </w:tcPr>
          <w:p w14:paraId="75977282" w14:textId="77777777" w:rsidR="00B73410" w:rsidRPr="0091708F" w:rsidRDefault="00BC2F61" w:rsidP="00A34EE9">
            <w:pPr>
              <w:spacing w:line="360" w:lineRule="auto"/>
              <w:jc w:val="center"/>
              <w:rPr>
                <w:sz w:val="24"/>
                <w:szCs w:val="24"/>
              </w:rPr>
            </w:pPr>
            <w:r w:rsidRPr="0091708F">
              <w:rPr>
                <w:sz w:val="24"/>
                <w:szCs w:val="24"/>
              </w:rPr>
              <w:t>0.124653</w:t>
            </w:r>
          </w:p>
        </w:tc>
        <w:tc>
          <w:tcPr>
            <w:tcW w:w="1150" w:type="dxa"/>
            <w:vAlign w:val="bottom"/>
          </w:tcPr>
          <w:p w14:paraId="4E10D9F7" w14:textId="77777777" w:rsidR="00B73410" w:rsidRPr="0091708F" w:rsidRDefault="00BC2F61" w:rsidP="00A34EE9">
            <w:pPr>
              <w:spacing w:line="360" w:lineRule="auto"/>
              <w:jc w:val="center"/>
              <w:rPr>
                <w:sz w:val="24"/>
                <w:szCs w:val="24"/>
              </w:rPr>
            </w:pPr>
            <w:r w:rsidRPr="0091708F">
              <w:rPr>
                <w:sz w:val="24"/>
                <w:szCs w:val="24"/>
              </w:rPr>
              <w:t>4.350837</w:t>
            </w:r>
          </w:p>
        </w:tc>
        <w:tc>
          <w:tcPr>
            <w:tcW w:w="950" w:type="dxa"/>
            <w:vAlign w:val="bottom"/>
          </w:tcPr>
          <w:p w14:paraId="7786B291" w14:textId="77777777" w:rsidR="00B73410" w:rsidRPr="0091708F" w:rsidRDefault="00BC2F61" w:rsidP="00A34EE9">
            <w:pPr>
              <w:spacing w:line="360" w:lineRule="auto"/>
              <w:jc w:val="center"/>
              <w:rPr>
                <w:sz w:val="24"/>
                <w:szCs w:val="24"/>
              </w:rPr>
            </w:pPr>
            <w:r w:rsidRPr="0091708F">
              <w:rPr>
                <w:sz w:val="24"/>
                <w:szCs w:val="24"/>
              </w:rPr>
              <w:t>0.0000</w:t>
            </w:r>
          </w:p>
        </w:tc>
      </w:tr>
      <w:tr w:rsidR="000B5092" w14:paraId="632AD116" w14:textId="77777777" w:rsidTr="00D60757">
        <w:trPr>
          <w:trHeight w:val="220"/>
          <w:jc w:val="center"/>
        </w:trPr>
        <w:tc>
          <w:tcPr>
            <w:tcW w:w="1920" w:type="dxa"/>
          </w:tcPr>
          <w:p w14:paraId="355A8BA8" w14:textId="77777777" w:rsidR="00B73410" w:rsidRPr="0091708F" w:rsidRDefault="00BC2F61" w:rsidP="00B73410">
            <w:pPr>
              <w:spacing w:line="360" w:lineRule="auto"/>
              <w:jc w:val="center"/>
              <w:rPr>
                <w:sz w:val="24"/>
                <w:szCs w:val="24"/>
              </w:rPr>
            </w:pPr>
            <w:r>
              <w:rPr>
                <w:sz w:val="24"/>
                <w:szCs w:val="24"/>
              </w:rPr>
              <w:t>Size (X</w:t>
            </w:r>
            <w:r>
              <w:rPr>
                <w:sz w:val="24"/>
                <w:szCs w:val="24"/>
                <w:vertAlign w:val="subscript"/>
              </w:rPr>
              <w:t>1</w:t>
            </w:r>
            <w:r>
              <w:rPr>
                <w:sz w:val="24"/>
                <w:szCs w:val="24"/>
              </w:rPr>
              <w:t>)</w:t>
            </w:r>
          </w:p>
        </w:tc>
        <w:tc>
          <w:tcPr>
            <w:tcW w:w="1199" w:type="dxa"/>
            <w:vAlign w:val="bottom"/>
          </w:tcPr>
          <w:p w14:paraId="6DAC8831" w14:textId="77777777" w:rsidR="00B73410" w:rsidRPr="0091708F" w:rsidRDefault="00BC2F61" w:rsidP="00B73410">
            <w:pPr>
              <w:spacing w:line="360" w:lineRule="auto"/>
              <w:jc w:val="center"/>
              <w:rPr>
                <w:sz w:val="24"/>
                <w:szCs w:val="24"/>
              </w:rPr>
            </w:pPr>
            <w:r w:rsidRPr="0091708F">
              <w:rPr>
                <w:sz w:val="24"/>
                <w:szCs w:val="24"/>
              </w:rPr>
              <w:t>0.001277</w:t>
            </w:r>
          </w:p>
        </w:tc>
        <w:tc>
          <w:tcPr>
            <w:tcW w:w="1150" w:type="dxa"/>
            <w:vAlign w:val="bottom"/>
          </w:tcPr>
          <w:p w14:paraId="0EF1A9AE" w14:textId="77777777" w:rsidR="00B73410" w:rsidRPr="0091708F" w:rsidRDefault="00BC2F61" w:rsidP="00B73410">
            <w:pPr>
              <w:spacing w:line="360" w:lineRule="auto"/>
              <w:jc w:val="center"/>
              <w:rPr>
                <w:sz w:val="24"/>
                <w:szCs w:val="24"/>
              </w:rPr>
            </w:pPr>
            <w:r w:rsidRPr="0091708F">
              <w:rPr>
                <w:sz w:val="24"/>
                <w:szCs w:val="24"/>
              </w:rPr>
              <w:t>0.001892</w:t>
            </w:r>
          </w:p>
        </w:tc>
        <w:tc>
          <w:tcPr>
            <w:tcW w:w="1150" w:type="dxa"/>
            <w:vAlign w:val="bottom"/>
          </w:tcPr>
          <w:p w14:paraId="68071EA6" w14:textId="77777777" w:rsidR="00B73410" w:rsidRPr="0091708F" w:rsidRDefault="00BC2F61" w:rsidP="00B73410">
            <w:pPr>
              <w:spacing w:line="360" w:lineRule="auto"/>
              <w:jc w:val="center"/>
              <w:rPr>
                <w:sz w:val="24"/>
                <w:szCs w:val="24"/>
              </w:rPr>
            </w:pPr>
            <w:r w:rsidRPr="0091708F">
              <w:rPr>
                <w:sz w:val="24"/>
                <w:szCs w:val="24"/>
              </w:rPr>
              <w:t>0.674838</w:t>
            </w:r>
          </w:p>
        </w:tc>
        <w:tc>
          <w:tcPr>
            <w:tcW w:w="950" w:type="dxa"/>
            <w:vAlign w:val="bottom"/>
          </w:tcPr>
          <w:p w14:paraId="742FA71C" w14:textId="77777777" w:rsidR="00B73410" w:rsidRPr="0091708F" w:rsidRDefault="00BC2F61" w:rsidP="00B73410">
            <w:pPr>
              <w:spacing w:line="360" w:lineRule="auto"/>
              <w:jc w:val="center"/>
              <w:rPr>
                <w:sz w:val="24"/>
                <w:szCs w:val="24"/>
              </w:rPr>
            </w:pPr>
            <w:r w:rsidRPr="0091708F">
              <w:rPr>
                <w:sz w:val="24"/>
                <w:szCs w:val="24"/>
              </w:rPr>
              <w:t>0.5020</w:t>
            </w:r>
          </w:p>
        </w:tc>
      </w:tr>
      <w:tr w:rsidR="000B5092" w14:paraId="277470AE" w14:textId="77777777" w:rsidTr="00D60757">
        <w:trPr>
          <w:trHeight w:val="220"/>
          <w:jc w:val="center"/>
        </w:trPr>
        <w:tc>
          <w:tcPr>
            <w:tcW w:w="1920" w:type="dxa"/>
          </w:tcPr>
          <w:p w14:paraId="7CA412D4" w14:textId="77777777" w:rsidR="00B73410" w:rsidRPr="0091708F" w:rsidRDefault="00BC2F61" w:rsidP="00B73410">
            <w:pPr>
              <w:spacing w:line="360" w:lineRule="auto"/>
              <w:jc w:val="center"/>
              <w:rPr>
                <w:sz w:val="24"/>
                <w:szCs w:val="24"/>
              </w:rPr>
            </w:pPr>
            <w:r>
              <w:rPr>
                <w:sz w:val="24"/>
                <w:szCs w:val="24"/>
              </w:rPr>
              <w:t>DPK (X</w:t>
            </w:r>
            <w:r>
              <w:rPr>
                <w:sz w:val="24"/>
                <w:szCs w:val="24"/>
                <w:vertAlign w:val="subscript"/>
              </w:rPr>
              <w:t>2</w:t>
            </w:r>
            <w:r>
              <w:rPr>
                <w:sz w:val="24"/>
                <w:szCs w:val="24"/>
              </w:rPr>
              <w:t>)</w:t>
            </w:r>
          </w:p>
        </w:tc>
        <w:tc>
          <w:tcPr>
            <w:tcW w:w="1199" w:type="dxa"/>
            <w:vAlign w:val="bottom"/>
          </w:tcPr>
          <w:p w14:paraId="3D73470D" w14:textId="77777777" w:rsidR="00B73410" w:rsidRPr="0091708F" w:rsidRDefault="00BC2F61" w:rsidP="00B73410">
            <w:pPr>
              <w:spacing w:line="360" w:lineRule="auto"/>
              <w:jc w:val="center"/>
              <w:rPr>
                <w:sz w:val="24"/>
                <w:szCs w:val="24"/>
              </w:rPr>
            </w:pPr>
            <w:r w:rsidRPr="0091708F">
              <w:rPr>
                <w:sz w:val="24"/>
                <w:szCs w:val="24"/>
              </w:rPr>
              <w:t>-0.001880</w:t>
            </w:r>
          </w:p>
        </w:tc>
        <w:tc>
          <w:tcPr>
            <w:tcW w:w="1150" w:type="dxa"/>
            <w:vAlign w:val="bottom"/>
          </w:tcPr>
          <w:p w14:paraId="0A799744" w14:textId="77777777" w:rsidR="00B73410" w:rsidRPr="0091708F" w:rsidRDefault="00BC2F61" w:rsidP="00B73410">
            <w:pPr>
              <w:spacing w:line="360" w:lineRule="auto"/>
              <w:jc w:val="center"/>
              <w:rPr>
                <w:sz w:val="24"/>
                <w:szCs w:val="24"/>
              </w:rPr>
            </w:pPr>
            <w:r w:rsidRPr="0091708F">
              <w:rPr>
                <w:sz w:val="24"/>
                <w:szCs w:val="24"/>
              </w:rPr>
              <w:t>0.003404</w:t>
            </w:r>
          </w:p>
        </w:tc>
        <w:tc>
          <w:tcPr>
            <w:tcW w:w="1150" w:type="dxa"/>
            <w:vAlign w:val="bottom"/>
          </w:tcPr>
          <w:p w14:paraId="75ACC180" w14:textId="77777777" w:rsidR="00B73410" w:rsidRPr="0091708F" w:rsidRDefault="00BC2F61" w:rsidP="00B73410">
            <w:pPr>
              <w:spacing w:line="360" w:lineRule="auto"/>
              <w:jc w:val="center"/>
              <w:rPr>
                <w:sz w:val="24"/>
                <w:szCs w:val="24"/>
              </w:rPr>
            </w:pPr>
            <w:r w:rsidRPr="0091708F">
              <w:rPr>
                <w:sz w:val="24"/>
                <w:szCs w:val="24"/>
              </w:rPr>
              <w:t>-0.552282</w:t>
            </w:r>
          </w:p>
        </w:tc>
        <w:tc>
          <w:tcPr>
            <w:tcW w:w="950" w:type="dxa"/>
            <w:vAlign w:val="bottom"/>
          </w:tcPr>
          <w:p w14:paraId="7F88355F" w14:textId="77777777" w:rsidR="00B73410" w:rsidRPr="0091708F" w:rsidRDefault="00BC2F61" w:rsidP="00B73410">
            <w:pPr>
              <w:spacing w:line="360" w:lineRule="auto"/>
              <w:jc w:val="center"/>
              <w:rPr>
                <w:sz w:val="24"/>
                <w:szCs w:val="24"/>
              </w:rPr>
            </w:pPr>
            <w:r w:rsidRPr="0091708F">
              <w:rPr>
                <w:sz w:val="24"/>
                <w:szCs w:val="24"/>
              </w:rPr>
              <w:t>0.5825</w:t>
            </w:r>
          </w:p>
        </w:tc>
      </w:tr>
      <w:tr w:rsidR="000B5092" w14:paraId="70BC66F6" w14:textId="77777777" w:rsidTr="00D60757">
        <w:trPr>
          <w:trHeight w:val="220"/>
          <w:jc w:val="center"/>
        </w:trPr>
        <w:tc>
          <w:tcPr>
            <w:tcW w:w="1920" w:type="dxa"/>
          </w:tcPr>
          <w:p w14:paraId="39137DBB" w14:textId="77777777" w:rsidR="00B73410" w:rsidRPr="0091708F" w:rsidRDefault="00BC2F61" w:rsidP="00B73410">
            <w:pPr>
              <w:spacing w:line="360" w:lineRule="auto"/>
              <w:jc w:val="center"/>
              <w:rPr>
                <w:sz w:val="24"/>
                <w:szCs w:val="24"/>
              </w:rPr>
            </w:pPr>
            <w:r>
              <w:rPr>
                <w:sz w:val="24"/>
                <w:szCs w:val="24"/>
              </w:rPr>
              <w:t>KD (X</w:t>
            </w:r>
            <w:r>
              <w:rPr>
                <w:sz w:val="24"/>
                <w:szCs w:val="24"/>
                <w:vertAlign w:val="subscript"/>
              </w:rPr>
              <w:t>3</w:t>
            </w:r>
            <w:r>
              <w:rPr>
                <w:sz w:val="24"/>
                <w:szCs w:val="24"/>
              </w:rPr>
              <w:t>)</w:t>
            </w:r>
          </w:p>
        </w:tc>
        <w:tc>
          <w:tcPr>
            <w:tcW w:w="1199" w:type="dxa"/>
            <w:vAlign w:val="bottom"/>
          </w:tcPr>
          <w:p w14:paraId="3BCB4374" w14:textId="77777777" w:rsidR="00B73410" w:rsidRPr="0091708F" w:rsidRDefault="00BC2F61" w:rsidP="00B73410">
            <w:pPr>
              <w:spacing w:line="360" w:lineRule="auto"/>
              <w:jc w:val="center"/>
              <w:rPr>
                <w:sz w:val="24"/>
                <w:szCs w:val="24"/>
              </w:rPr>
            </w:pPr>
            <w:r w:rsidRPr="0091708F">
              <w:rPr>
                <w:sz w:val="24"/>
                <w:szCs w:val="24"/>
              </w:rPr>
              <w:t>0.001138</w:t>
            </w:r>
          </w:p>
        </w:tc>
        <w:tc>
          <w:tcPr>
            <w:tcW w:w="1150" w:type="dxa"/>
            <w:vAlign w:val="bottom"/>
          </w:tcPr>
          <w:p w14:paraId="7FE78EC8" w14:textId="77777777" w:rsidR="00B73410" w:rsidRPr="0091708F" w:rsidRDefault="00BC2F61" w:rsidP="00B73410">
            <w:pPr>
              <w:spacing w:line="360" w:lineRule="auto"/>
              <w:jc w:val="center"/>
              <w:rPr>
                <w:sz w:val="24"/>
                <w:szCs w:val="24"/>
              </w:rPr>
            </w:pPr>
            <w:r w:rsidRPr="0091708F">
              <w:rPr>
                <w:sz w:val="24"/>
                <w:szCs w:val="24"/>
              </w:rPr>
              <w:t>0.002266</w:t>
            </w:r>
          </w:p>
        </w:tc>
        <w:tc>
          <w:tcPr>
            <w:tcW w:w="1150" w:type="dxa"/>
            <w:vAlign w:val="bottom"/>
          </w:tcPr>
          <w:p w14:paraId="715D8018" w14:textId="77777777" w:rsidR="00B73410" w:rsidRPr="0091708F" w:rsidRDefault="00BC2F61" w:rsidP="00B73410">
            <w:pPr>
              <w:spacing w:line="360" w:lineRule="auto"/>
              <w:jc w:val="center"/>
              <w:rPr>
                <w:sz w:val="24"/>
                <w:szCs w:val="24"/>
              </w:rPr>
            </w:pPr>
            <w:r w:rsidRPr="0091708F">
              <w:rPr>
                <w:sz w:val="24"/>
                <w:szCs w:val="24"/>
              </w:rPr>
              <w:t>0.502277</w:t>
            </w:r>
          </w:p>
        </w:tc>
        <w:tc>
          <w:tcPr>
            <w:tcW w:w="950" w:type="dxa"/>
            <w:vAlign w:val="bottom"/>
          </w:tcPr>
          <w:p w14:paraId="2B081939" w14:textId="77777777" w:rsidR="00B73410" w:rsidRPr="0091708F" w:rsidRDefault="00BC2F61" w:rsidP="00B73410">
            <w:pPr>
              <w:spacing w:line="360" w:lineRule="auto"/>
              <w:jc w:val="center"/>
              <w:rPr>
                <w:sz w:val="24"/>
                <w:szCs w:val="24"/>
              </w:rPr>
            </w:pPr>
            <w:r w:rsidRPr="0091708F">
              <w:rPr>
                <w:sz w:val="24"/>
                <w:szCs w:val="24"/>
              </w:rPr>
              <w:t>0.6170</w:t>
            </w:r>
          </w:p>
        </w:tc>
      </w:tr>
    </w:tbl>
    <w:p w14:paraId="06C6E19C" w14:textId="77777777" w:rsidR="00B73410" w:rsidRPr="00B73410" w:rsidRDefault="00B73410" w:rsidP="00B73410">
      <w:pPr>
        <w:jc w:val="center"/>
        <w:rPr>
          <w:sz w:val="24"/>
          <w:szCs w:val="24"/>
          <w:lang w:val="en-ID"/>
        </w:rPr>
      </w:pPr>
    </w:p>
    <w:p w14:paraId="16C9C310" w14:textId="77777777" w:rsidR="008D2463" w:rsidRPr="007E5A51" w:rsidRDefault="00BC2F61" w:rsidP="007E5A51">
      <w:pPr>
        <w:ind w:firstLine="567"/>
        <w:jc w:val="both"/>
        <w:rPr>
          <w:sz w:val="24"/>
          <w:szCs w:val="24"/>
          <w:lang w:val="en-ID"/>
        </w:rPr>
      </w:pPr>
      <w:r w:rsidRPr="007E5A51">
        <w:rPr>
          <w:sz w:val="24"/>
          <w:szCs w:val="24"/>
          <w:lang w:val="en-ID"/>
        </w:rPr>
        <w:t>Based on the results of the heteroscedasticity test using the Glejser model, the significance values for the SIZE variable are 0.5020, for DPK are 0.5825, and for KD are 0.6170. Since all of these values are more significant than 0.05, it can be concluded that the data does not exhibit heteroscedasticity. Therefore, the assumption of homoscedasticity is satisfied in the regression model used</w:t>
      </w:r>
      <w:r w:rsidR="00B73410" w:rsidRPr="00B73410">
        <w:rPr>
          <w:sz w:val="24"/>
          <w:szCs w:val="24"/>
        </w:rPr>
        <w:t>.</w:t>
      </w:r>
    </w:p>
    <w:p w14:paraId="554D08CA" w14:textId="77777777" w:rsidR="008D2463" w:rsidRPr="00F23B88" w:rsidRDefault="008D2463" w:rsidP="008D2463">
      <w:pPr>
        <w:jc w:val="both"/>
        <w:rPr>
          <w:sz w:val="20"/>
          <w:szCs w:val="20"/>
        </w:rPr>
      </w:pPr>
    </w:p>
    <w:p w14:paraId="07570E45" w14:textId="77777777" w:rsidR="008D2463" w:rsidRPr="00B73410" w:rsidRDefault="00BC2F61" w:rsidP="008D2463">
      <w:pPr>
        <w:jc w:val="both"/>
        <w:rPr>
          <w:b/>
          <w:bCs/>
          <w:sz w:val="24"/>
          <w:szCs w:val="24"/>
        </w:rPr>
      </w:pPr>
      <w:r w:rsidRPr="007C1B52">
        <w:rPr>
          <w:b/>
          <w:bCs/>
          <w:sz w:val="24"/>
          <w:szCs w:val="24"/>
        </w:rPr>
        <w:t>Hypothesis Test</w:t>
      </w:r>
    </w:p>
    <w:p w14:paraId="31CB1B39" w14:textId="77777777" w:rsidR="008D2463" w:rsidRPr="00B73410" w:rsidRDefault="00BC2F61" w:rsidP="00B73410">
      <w:pPr>
        <w:ind w:firstLine="567"/>
        <w:jc w:val="both"/>
        <w:rPr>
          <w:sz w:val="24"/>
          <w:szCs w:val="24"/>
        </w:rPr>
      </w:pPr>
      <w:r w:rsidRPr="007E5A51">
        <w:rPr>
          <w:sz w:val="24"/>
          <w:szCs w:val="24"/>
        </w:rPr>
        <w:t>The next step after going through the classic assumption test is to carry out a hypothesis test with the following results</w:t>
      </w:r>
      <w:r w:rsidR="00B73410" w:rsidRPr="00B73410">
        <w:rPr>
          <w:sz w:val="24"/>
          <w:szCs w:val="24"/>
        </w:rPr>
        <w:t>.</w:t>
      </w:r>
    </w:p>
    <w:p w14:paraId="3DF1A7EF" w14:textId="77777777" w:rsidR="0042600E" w:rsidRDefault="0042600E" w:rsidP="00893346">
      <w:pPr>
        <w:jc w:val="both"/>
        <w:rPr>
          <w:b/>
          <w:sz w:val="24"/>
          <w:szCs w:val="24"/>
        </w:rPr>
      </w:pPr>
    </w:p>
    <w:p w14:paraId="57E02F59" w14:textId="45433268" w:rsidR="00893346" w:rsidRPr="001160DA" w:rsidRDefault="00BC2F61" w:rsidP="00893346">
      <w:pPr>
        <w:jc w:val="both"/>
        <w:rPr>
          <w:b/>
          <w:sz w:val="24"/>
          <w:szCs w:val="24"/>
        </w:rPr>
      </w:pPr>
      <w:r w:rsidRPr="007E5A51">
        <w:rPr>
          <w:b/>
          <w:sz w:val="24"/>
          <w:szCs w:val="24"/>
        </w:rPr>
        <w:t>The Effect of Size on Profitability</w:t>
      </w:r>
    </w:p>
    <w:p w14:paraId="4E855AC6" w14:textId="77777777" w:rsidR="001160DA" w:rsidRPr="001160DA" w:rsidRDefault="00BC2F61" w:rsidP="001160DA">
      <w:pPr>
        <w:ind w:firstLine="567"/>
        <w:jc w:val="both"/>
        <w:rPr>
          <w:bCs/>
          <w:sz w:val="24"/>
          <w:szCs w:val="24"/>
        </w:rPr>
      </w:pPr>
      <w:r w:rsidRPr="007E5A51">
        <w:rPr>
          <w:bCs/>
          <w:sz w:val="24"/>
          <w:szCs w:val="24"/>
        </w:rPr>
        <w:t>Based on the calculations in Table 8, Size has a probability value of 0.000 and a t-statistic of 4.4425. Size is proven to have a significant effect on profitability because the probability value (0.000) is less than 0.05. Therefore, H1 is accepted</w:t>
      </w:r>
      <w:r w:rsidRPr="001160DA">
        <w:rPr>
          <w:bCs/>
          <w:sz w:val="24"/>
          <w:szCs w:val="24"/>
        </w:rPr>
        <w:t>.</w:t>
      </w:r>
    </w:p>
    <w:p w14:paraId="561A8ED4" w14:textId="77777777" w:rsidR="0042600E" w:rsidRDefault="0042600E" w:rsidP="001160DA">
      <w:pPr>
        <w:jc w:val="both"/>
        <w:rPr>
          <w:b/>
          <w:sz w:val="24"/>
          <w:szCs w:val="24"/>
        </w:rPr>
      </w:pPr>
    </w:p>
    <w:p w14:paraId="6CF837EB" w14:textId="7AC441BB" w:rsidR="001160DA" w:rsidRPr="001160DA" w:rsidRDefault="00BC2F61" w:rsidP="001160DA">
      <w:pPr>
        <w:jc w:val="both"/>
        <w:rPr>
          <w:b/>
          <w:sz w:val="24"/>
          <w:szCs w:val="24"/>
        </w:rPr>
      </w:pPr>
      <w:r w:rsidRPr="007E5A51">
        <w:rPr>
          <w:b/>
          <w:sz w:val="24"/>
          <w:szCs w:val="24"/>
        </w:rPr>
        <w:t>The Effect of Third-Party Funds on Profitability</w:t>
      </w:r>
    </w:p>
    <w:p w14:paraId="098611FC" w14:textId="77777777" w:rsidR="001160DA" w:rsidRPr="001160DA" w:rsidRDefault="00BC2F61" w:rsidP="001160DA">
      <w:pPr>
        <w:ind w:firstLine="567"/>
        <w:jc w:val="both"/>
        <w:rPr>
          <w:bCs/>
          <w:sz w:val="24"/>
          <w:szCs w:val="24"/>
        </w:rPr>
      </w:pPr>
      <w:r w:rsidRPr="007E5A51">
        <w:rPr>
          <w:bCs/>
          <w:sz w:val="24"/>
          <w:szCs w:val="24"/>
        </w:rPr>
        <w:t>Based on the calculations in Table 8, DPK has a probability value of 0.037 and a t-statistic of 2.1178. DPK is proven to have a significant effect on profitability because the probability value (0.037) is less than 0.05. Therefore, H2 is accepted</w:t>
      </w:r>
      <w:r w:rsidRPr="001160DA">
        <w:rPr>
          <w:bCs/>
          <w:sz w:val="24"/>
          <w:szCs w:val="24"/>
        </w:rPr>
        <w:t>.</w:t>
      </w:r>
    </w:p>
    <w:p w14:paraId="44C261FC" w14:textId="77777777" w:rsidR="0042600E" w:rsidRDefault="0042600E" w:rsidP="001160DA">
      <w:pPr>
        <w:jc w:val="both"/>
        <w:rPr>
          <w:b/>
          <w:sz w:val="24"/>
          <w:szCs w:val="24"/>
        </w:rPr>
      </w:pPr>
      <w:bookmarkStart w:id="4" w:name="_Hlk184189516"/>
    </w:p>
    <w:p w14:paraId="776C9B54" w14:textId="53E64A6F" w:rsidR="001160DA" w:rsidRPr="001160DA" w:rsidRDefault="00BC2F61" w:rsidP="001160DA">
      <w:pPr>
        <w:jc w:val="both"/>
        <w:rPr>
          <w:b/>
          <w:sz w:val="24"/>
          <w:szCs w:val="24"/>
        </w:rPr>
      </w:pPr>
      <w:r w:rsidRPr="00B970F4">
        <w:rPr>
          <w:b/>
          <w:sz w:val="24"/>
          <w:szCs w:val="24"/>
        </w:rPr>
        <w:t>The Effect of Dividend Policy on Profitability</w:t>
      </w:r>
      <w:bookmarkEnd w:id="4"/>
    </w:p>
    <w:p w14:paraId="1C8FDADB" w14:textId="77777777" w:rsidR="001160DA" w:rsidRDefault="00BC2F61" w:rsidP="001160DA">
      <w:pPr>
        <w:ind w:firstLine="567"/>
        <w:jc w:val="both"/>
        <w:rPr>
          <w:bCs/>
          <w:sz w:val="24"/>
          <w:szCs w:val="24"/>
        </w:rPr>
      </w:pPr>
      <w:r w:rsidRPr="00B970F4">
        <w:rPr>
          <w:bCs/>
          <w:sz w:val="24"/>
          <w:szCs w:val="24"/>
        </w:rPr>
        <w:t xml:space="preserve">Based on the calculations in Table 8, Dividend Policy has a probability value of 0.655 and a t-statistic of 0.4489. Dividend Policy is not proven to have a significant effect on profitability because the probability value (0.655) is </w:t>
      </w:r>
      <w:r w:rsidR="00DD5BC2">
        <w:rPr>
          <w:bCs/>
          <w:sz w:val="24"/>
          <w:szCs w:val="24"/>
        </w:rPr>
        <w:t>more critical</w:t>
      </w:r>
      <w:r w:rsidRPr="00B970F4">
        <w:rPr>
          <w:bCs/>
          <w:sz w:val="24"/>
          <w:szCs w:val="24"/>
        </w:rPr>
        <w:t xml:space="preserve"> than 0.05. Therefore, H3 is rejected</w:t>
      </w:r>
      <w:r w:rsidRPr="001160DA">
        <w:rPr>
          <w:bCs/>
          <w:sz w:val="24"/>
          <w:szCs w:val="24"/>
        </w:rPr>
        <w:t>.</w:t>
      </w:r>
    </w:p>
    <w:p w14:paraId="55CBC86B" w14:textId="77777777" w:rsidR="001160DA" w:rsidRDefault="001160DA" w:rsidP="001160DA">
      <w:pPr>
        <w:jc w:val="both"/>
        <w:rPr>
          <w:bCs/>
          <w:sz w:val="24"/>
          <w:szCs w:val="24"/>
        </w:rPr>
      </w:pPr>
    </w:p>
    <w:p w14:paraId="05D487F1" w14:textId="77777777" w:rsidR="001160DA" w:rsidRPr="0098769F" w:rsidRDefault="00BC2F61" w:rsidP="001160DA">
      <w:pPr>
        <w:jc w:val="both"/>
        <w:rPr>
          <w:b/>
          <w:sz w:val="28"/>
          <w:szCs w:val="28"/>
        </w:rPr>
      </w:pPr>
      <w:r w:rsidRPr="00B970F4">
        <w:rPr>
          <w:b/>
          <w:sz w:val="28"/>
          <w:szCs w:val="28"/>
        </w:rPr>
        <w:t>Discussion</w:t>
      </w:r>
    </w:p>
    <w:p w14:paraId="456FDE93" w14:textId="77777777" w:rsidR="001160DA" w:rsidRDefault="00BC2F61" w:rsidP="001160DA">
      <w:pPr>
        <w:jc w:val="both"/>
        <w:rPr>
          <w:b/>
          <w:sz w:val="24"/>
          <w:szCs w:val="24"/>
        </w:rPr>
      </w:pPr>
      <w:r w:rsidRPr="00B970F4">
        <w:rPr>
          <w:b/>
          <w:sz w:val="24"/>
          <w:szCs w:val="24"/>
        </w:rPr>
        <w:t>The Effect of Company Size on Profitability</w:t>
      </w:r>
    </w:p>
    <w:p w14:paraId="6FBA85D1" w14:textId="77777777" w:rsidR="001160DA" w:rsidRDefault="00BC2F61" w:rsidP="001160DA">
      <w:pPr>
        <w:ind w:firstLine="567"/>
        <w:jc w:val="both"/>
        <w:rPr>
          <w:bCs/>
          <w:sz w:val="24"/>
          <w:szCs w:val="24"/>
        </w:rPr>
      </w:pPr>
      <w:r w:rsidRPr="00B970F4">
        <w:rPr>
          <w:bCs/>
          <w:sz w:val="24"/>
          <w:szCs w:val="24"/>
        </w:rPr>
        <w:t xml:space="preserve">The research findings indicate that Size (bank size) has a positive and significant effect on the profitability of Islamic banks in Asia. As the </w:t>
      </w:r>
      <w:r w:rsidR="00DD5BC2">
        <w:rPr>
          <w:bCs/>
          <w:sz w:val="24"/>
          <w:szCs w:val="24"/>
        </w:rPr>
        <w:t>size</w:t>
      </w:r>
      <w:r w:rsidRPr="00B970F4">
        <w:rPr>
          <w:bCs/>
          <w:sz w:val="24"/>
          <w:szCs w:val="24"/>
        </w:rPr>
        <w:t xml:space="preserve"> of the bank increases, its ability to generate profits improves. This is due to more substantial resources, a broad network, and the ability to attract customers and obtain funding at lower costs. Larger banks also have better product diversification, enabling them to serve various customer needs, improve operational efficiency, and generate higher profits</w:t>
      </w:r>
      <w:r w:rsidRPr="001160DA">
        <w:rPr>
          <w:bCs/>
          <w:sz w:val="24"/>
          <w:szCs w:val="24"/>
        </w:rPr>
        <w:t>.</w:t>
      </w:r>
    </w:p>
    <w:p w14:paraId="61AC89A7" w14:textId="3F8CEEFA" w:rsidR="001160DA" w:rsidRDefault="00BC2F61" w:rsidP="001160DA">
      <w:pPr>
        <w:ind w:firstLine="567"/>
        <w:jc w:val="both"/>
        <w:rPr>
          <w:sz w:val="24"/>
        </w:rPr>
      </w:pPr>
      <w:r w:rsidRPr="00B970F4">
        <w:rPr>
          <w:bCs/>
          <w:sz w:val="24"/>
          <w:szCs w:val="24"/>
        </w:rPr>
        <w:t xml:space="preserve">Additionally, large Islamic banks have better capabilities in risk absorption due to more significant capital reserves and well-established infrastructure. </w:t>
      </w:r>
      <w:r w:rsidR="001810AB">
        <w:rPr>
          <w:bCs/>
          <w:sz w:val="24"/>
          <w:szCs w:val="24"/>
        </w:rPr>
        <w:t>Their economies of scale</w:t>
      </w:r>
      <w:r w:rsidRPr="00B970F4">
        <w:rPr>
          <w:bCs/>
          <w:sz w:val="24"/>
          <w:szCs w:val="24"/>
        </w:rPr>
        <w:t xml:space="preserve"> allow for the reduction of average costs per transaction, thereby increasing profit margins. These findings underscore the importance of strategic expansion to support the profitability of Islamic banking in Asia while adhering to Islamic principles as the operational foundation. This result aligns with the studies of</w:t>
      </w:r>
      <w:r>
        <w:rPr>
          <w:bCs/>
          <w:sz w:val="24"/>
          <w:szCs w:val="24"/>
        </w:rPr>
        <w:t xml:space="preserve"> </w:t>
      </w:r>
      <w:r w:rsidRPr="00461C8E">
        <w:rPr>
          <w:sz w:val="24"/>
        </w:rPr>
        <w:fldChar w:fldCharType="begin" w:fldLock="1"/>
      </w:r>
      <w:r>
        <w:rPr>
          <w:sz w:val="24"/>
        </w:rPr>
        <w:instrText>ADDIN CSL_CITATION {"citationItems":[{"id":"ITEM-1","itemData":{"author":[{"dropping-particle":"","family":"Mei","given":"Vol No","non-dropping-particle":"","parse-names":false,"suffix":""},{"dropping-particle":"","family":"Periode","given":"Profitabilitas","non-dropping-particle":"","parse-names":false,"suffix":""},{"dropping-particle":"","family":"Anatasya","given":"Arifa","non-dropping-particle":"","parse-names":false,"suffix":""},{"dropping-particle":"","family":"Susilowati","given":"Endah","non-dropping-particle":"","parse-names":false,"suffix":""}],"id":"ITEM-1","issue":"1","issued":{"date-parts":[["2021"]]},"page":"271-281","title":"Pengaruh Bank Size , Nim , Dan Car Terhadap","type":"article-journal","volume":"1"},"uris":["http://www.mendeley.com/documents/?uuid=7b20fc66-4b67-489e-81a2-eda3e38a18a2","http://www.mendeley.com/documents/?uuid=73c95334-d97d-44a9-a7db-e418bb2ebd45"]},{"id":"ITEM-2","itemData":{"DOI":"10.24912/jpa.v1i2.4701","abstract":"This research aims to determine the effect of bank size, capital adequacy ratio, loan to deposit ratio, net interest margin and non performing loan toward the bank profitability. This research uses 33 samples of commercial banks that listed on The Indonesia Stock Exchange in the year of 2015-2017 with the multiple regression analysis technique  using Statistical Product and Service Solution for Windows released 21 (SPSS 21.0) and Microsoft Office Excel 2010. The results of T test indicate that bank size, loan to deposit ratio, net interest marginand non performing loan have a significant effect on bank profitability. Meanwhile, capital adequacy ratio has an insignificant effect on bank profitability. The results of F test indicate that all the variables in this research simultaneously have a significant effect on bank profitability.","author":[{"dropping-particle":"","family":"Liana Susanto","given":"Loraine Pertiwi,","non-dropping-particle":"","parse-names":false,"suffix":""}],"container-title":"Jurnal Paradigma Akuntansi","id":"ITEM-2","issue":"2","issued":{"date-parts":[["2019"]]},"page":"282","title":"Faktor Yang Mempengaruhi Profitabilitas Pada Perbankan Yang Terdaftar Di Bei","type":"article-journal","volume":"1"},"uris":["http://www.mendeley.com/documents/?uuid=f8834e5c-2695-4cb6-b13b-a261981f03a4","http://www.mendeley.com/documents/?uuid=3ad00d24-f96e-42a5-8b96-a78e5e4e1f32"]}],"mendeley":{"formattedCitation":"(Liana Susanto, 2019; Mei, Periode, Anatasya, and Susilowati, 2021)","manualFormatting":"Liana Susanto (2019); Mei et al. (2021)","plainTextFormattedCitation":"(Liana Susanto, 2019; Mei, Periode, Anatasya, and Susilowati, 2021)","previouslyFormattedCitation":"(Liana Susanto, 2019; Mei, Periode, Anatasya, and Susilowati, 2021)"},"properties":{"noteIndex":0},"schema":"https://github.com/citation-style-language/schema/raw/master/csl-citation.json"}</w:instrText>
      </w:r>
      <w:r w:rsidRPr="00461C8E">
        <w:rPr>
          <w:sz w:val="24"/>
        </w:rPr>
        <w:fldChar w:fldCharType="separate"/>
      </w:r>
      <w:r w:rsidRPr="00461C8E">
        <w:rPr>
          <w:noProof/>
          <w:sz w:val="24"/>
        </w:rPr>
        <w:t xml:space="preserve">Liana Susanto </w:t>
      </w:r>
      <w:r>
        <w:rPr>
          <w:noProof/>
          <w:sz w:val="24"/>
        </w:rPr>
        <w:t>(</w:t>
      </w:r>
      <w:r w:rsidRPr="00461C8E">
        <w:rPr>
          <w:noProof/>
          <w:sz w:val="24"/>
        </w:rPr>
        <w:t>2019</w:t>
      </w:r>
      <w:r>
        <w:rPr>
          <w:noProof/>
          <w:sz w:val="24"/>
        </w:rPr>
        <w:t>)</w:t>
      </w:r>
      <w:r w:rsidRPr="00461C8E">
        <w:rPr>
          <w:noProof/>
          <w:sz w:val="24"/>
        </w:rPr>
        <w:t xml:space="preserve"> and Mei et al. </w:t>
      </w:r>
      <w:r>
        <w:rPr>
          <w:noProof/>
          <w:sz w:val="24"/>
        </w:rPr>
        <w:t>(</w:t>
      </w:r>
      <w:r w:rsidRPr="00461C8E">
        <w:rPr>
          <w:noProof/>
          <w:sz w:val="24"/>
        </w:rPr>
        <w:t>2021)</w:t>
      </w:r>
      <w:r w:rsidRPr="00461C8E">
        <w:rPr>
          <w:sz w:val="24"/>
        </w:rPr>
        <w:fldChar w:fldCharType="end"/>
      </w:r>
      <w:r>
        <w:rPr>
          <w:sz w:val="24"/>
        </w:rPr>
        <w:t xml:space="preserve">, </w:t>
      </w:r>
      <w:r w:rsidRPr="00B970F4">
        <w:rPr>
          <w:sz w:val="24"/>
        </w:rPr>
        <w:t>which found that larger bank sizes positively impact profitability</w:t>
      </w:r>
      <w:r>
        <w:rPr>
          <w:sz w:val="24"/>
        </w:rPr>
        <w:t>.</w:t>
      </w:r>
    </w:p>
    <w:p w14:paraId="63A23C02" w14:textId="77777777" w:rsidR="00186D77" w:rsidRDefault="00186D77" w:rsidP="001160DA">
      <w:pPr>
        <w:jc w:val="both"/>
        <w:rPr>
          <w:b/>
          <w:sz w:val="24"/>
          <w:szCs w:val="24"/>
        </w:rPr>
      </w:pPr>
    </w:p>
    <w:p w14:paraId="3329A6B5" w14:textId="4B324C34" w:rsidR="001160DA" w:rsidRDefault="00BC2F61" w:rsidP="001160DA">
      <w:pPr>
        <w:jc w:val="both"/>
        <w:rPr>
          <w:b/>
          <w:sz w:val="24"/>
          <w:szCs w:val="24"/>
        </w:rPr>
      </w:pPr>
      <w:r w:rsidRPr="007E5A51">
        <w:rPr>
          <w:b/>
          <w:sz w:val="24"/>
          <w:szCs w:val="24"/>
        </w:rPr>
        <w:t>The Effect of Third-Party Funds on Profitability</w:t>
      </w:r>
    </w:p>
    <w:p w14:paraId="5FED3BD4" w14:textId="17E39237" w:rsidR="0098769F" w:rsidRPr="0098769F" w:rsidRDefault="00BC2F61" w:rsidP="0098769F">
      <w:pPr>
        <w:ind w:firstLine="567"/>
        <w:jc w:val="both"/>
        <w:rPr>
          <w:bCs/>
          <w:sz w:val="24"/>
          <w:szCs w:val="24"/>
        </w:rPr>
      </w:pPr>
      <w:r w:rsidRPr="00B970F4">
        <w:rPr>
          <w:bCs/>
          <w:sz w:val="24"/>
          <w:szCs w:val="24"/>
        </w:rPr>
        <w:t xml:space="preserve">The research findings indicate that Third-Party Funds (DPK) have a negative and significant impact on the profitability of Islamic banks in Asia. Although DPK </w:t>
      </w:r>
      <w:r w:rsidR="001810AB">
        <w:rPr>
          <w:bCs/>
          <w:sz w:val="24"/>
          <w:szCs w:val="24"/>
        </w:rPr>
        <w:t>is the primary funding source</w:t>
      </w:r>
      <w:r w:rsidRPr="00B970F4">
        <w:rPr>
          <w:bCs/>
          <w:sz w:val="24"/>
          <w:szCs w:val="24"/>
        </w:rPr>
        <w:t xml:space="preserve"> for Islamic banks, inefficient management can pressure profitability levels. This is due to the high cost of funds that must be paid to customers </w:t>
      </w:r>
      <w:r w:rsidR="001810AB">
        <w:rPr>
          <w:bCs/>
          <w:sz w:val="24"/>
          <w:szCs w:val="24"/>
        </w:rPr>
        <w:t>through</w:t>
      </w:r>
      <w:r w:rsidRPr="00B970F4">
        <w:rPr>
          <w:bCs/>
          <w:sz w:val="24"/>
          <w:szCs w:val="24"/>
        </w:rPr>
        <w:t xml:space="preserve"> profit-sharing, which reduces net profits. Additionally, challenges in allocating DPK financing to productive sectors that generate high returns also affect profit margins. The imbalance between fund collection and distribution can increase operational burdens and lower profitability</w:t>
      </w:r>
      <w:r w:rsidRPr="0098769F">
        <w:rPr>
          <w:bCs/>
          <w:sz w:val="24"/>
          <w:szCs w:val="24"/>
        </w:rPr>
        <w:t>.</w:t>
      </w:r>
    </w:p>
    <w:p w14:paraId="2B1D1832" w14:textId="022E6E5C" w:rsidR="001160DA" w:rsidRPr="001160DA" w:rsidRDefault="00BC2F61" w:rsidP="0098769F">
      <w:pPr>
        <w:ind w:firstLine="567"/>
        <w:jc w:val="both"/>
        <w:rPr>
          <w:bCs/>
          <w:sz w:val="24"/>
          <w:szCs w:val="24"/>
        </w:rPr>
      </w:pPr>
      <w:r w:rsidRPr="00B970F4">
        <w:rPr>
          <w:bCs/>
          <w:sz w:val="24"/>
          <w:szCs w:val="24"/>
        </w:rPr>
        <w:lastRenderedPageBreak/>
        <w:t>Intense competition with other banks, both Islamic and conventional, further adds pressure to the profit margins of Islamic banks. Customers often demand competitive returns, while Sharia principles limit the investment diversification of Islamic banks. To address these challenges, Islamic banks need to enhance the efficiency of managing DPK through more innovative strategies, such as leveraging financial technology (fintech) and strengthening investments in the real sector. With customer education on sustainable profit-sharing schemes and careful risk management, the negative impact of DPK on profitability can be minimized. These findings are consistent with the research of</w:t>
      </w:r>
      <w:r w:rsidR="0098769F">
        <w:rPr>
          <w:bCs/>
          <w:sz w:val="24"/>
          <w:szCs w:val="24"/>
        </w:rPr>
        <w:t xml:space="preserve"> </w:t>
      </w:r>
      <w:r w:rsidR="0098769F" w:rsidRPr="00461C8E">
        <w:rPr>
          <w:sz w:val="24"/>
        </w:rPr>
        <w:fldChar w:fldCharType="begin" w:fldLock="1"/>
      </w:r>
      <w:r w:rsidR="0098769F">
        <w:rPr>
          <w:sz w:val="24"/>
        </w:rPr>
        <w:instrText>ADDIN CSL_CITATION {"citationItems":[{"id":"ITEM-1","itemData":{"DOI":"10.36406/jam.v17i02.328","ISSN":"1693-8364","abstract":"Penelitian ini bertujuan untuk meneliti apakah terdapat pengaruh dari mekanisme Capital Adequacy Ratio, Dana Pihak Ketiga, Non Performing Financing dan Pembiayaan Murabahah terhadap profitabilitas pada Bank Umum Syariah yang terdaftar di Otoritas Jasa Keuangan pada peiode 2012-2016 dengan jumlah sampel sebanyak 55 bank Syariah.Teknik pengumpulan data menggunakan metode dokumentasi pada situs resmi perbankan syariah. Hasil penelitian menunjukan capital adequacy ratio dan dana pihak ketiga berpengaruh terhadap profitabilitas, namun  non performing financing dan pembiayaan murabahah tidak berpengaruh terhadap profitabilitas. Secara simultan  capital adequacy ratio, dana pihak ketiga, non performing financing dan pembiayaan murabahah  berpengaruh terhadap profitabilitas.","author":[{"dropping-particle":"","family":"Ardheta","given":"Preztika Ayu","non-dropping-particle":"","parse-names":false,"suffix":""},{"dropping-particle":"","family":"Sina","given":"Helda Rahmi","non-dropping-particle":"","parse-names":false,"suffix":""}],"container-title":"Jurnal Akuntansi dan Manajemen","id":"ITEM-1","issue":"02","issued":{"date-parts":[["2020"]]},"page":"32-38","title":"Pengaruh Capital Adequacy Ratio, Dana Pihak Ketiga, Non Performing Financing dan Pembiayaan Murabahah Terhadap Profitabilitas","type":"article-journal","volume":"17"},"uris":["http://www.mendeley.com/documents/?uuid=1434e68e-9d73-4b60-880c-8d0904572d43","http://www.mendeley.com/documents/?uuid=50f5b9f4-76fa-4db0-aed7-ba0ef832ac11"]}],"mendeley":{"formattedCitation":"(Ardheta and Sina, 2020)","manualFormatting":"Ardheta &amp; Sina (2020)","plainTextFormattedCitation":"(Ardheta and Sina, 2020)","previouslyFormattedCitation":"(Ardheta and Sina, 2020)"},"properties":{"noteIndex":0},"schema":"https://github.com/citation-style-language/schema/raw/master/csl-citation.json"}</w:instrText>
      </w:r>
      <w:r w:rsidR="0098769F" w:rsidRPr="00461C8E">
        <w:rPr>
          <w:sz w:val="24"/>
        </w:rPr>
        <w:fldChar w:fldCharType="separate"/>
      </w:r>
      <w:r w:rsidR="0098769F" w:rsidRPr="00461C8E">
        <w:rPr>
          <w:noProof/>
          <w:sz w:val="24"/>
        </w:rPr>
        <w:t xml:space="preserve">Ardheta and Sina </w:t>
      </w:r>
      <w:r w:rsidR="0098769F">
        <w:rPr>
          <w:noProof/>
          <w:sz w:val="24"/>
        </w:rPr>
        <w:t>(</w:t>
      </w:r>
      <w:r w:rsidR="0098769F" w:rsidRPr="00461C8E">
        <w:rPr>
          <w:noProof/>
          <w:sz w:val="24"/>
        </w:rPr>
        <w:t>2020)</w:t>
      </w:r>
      <w:r w:rsidR="0098769F" w:rsidRPr="00461C8E">
        <w:rPr>
          <w:sz w:val="24"/>
        </w:rPr>
        <w:fldChar w:fldCharType="end"/>
      </w:r>
      <w:r w:rsidR="0098769F">
        <w:rPr>
          <w:sz w:val="24"/>
        </w:rPr>
        <w:t xml:space="preserve">, </w:t>
      </w:r>
      <w:r w:rsidRPr="00B970F4">
        <w:rPr>
          <w:sz w:val="24"/>
        </w:rPr>
        <w:t xml:space="preserve">which found that DPK </w:t>
      </w:r>
      <w:r w:rsidR="00CC7019">
        <w:rPr>
          <w:sz w:val="24"/>
        </w:rPr>
        <w:t>hurts</w:t>
      </w:r>
      <w:r w:rsidRPr="00B970F4">
        <w:rPr>
          <w:sz w:val="24"/>
        </w:rPr>
        <w:t xml:space="preserve"> profitability</w:t>
      </w:r>
      <w:r>
        <w:rPr>
          <w:sz w:val="24"/>
        </w:rPr>
        <w:t>.</w:t>
      </w:r>
    </w:p>
    <w:p w14:paraId="63D706F2" w14:textId="77777777" w:rsidR="00186D77" w:rsidRDefault="00186D77" w:rsidP="0098769F">
      <w:pPr>
        <w:jc w:val="both"/>
        <w:rPr>
          <w:b/>
          <w:sz w:val="24"/>
          <w:szCs w:val="24"/>
        </w:rPr>
      </w:pPr>
    </w:p>
    <w:p w14:paraId="16360A63" w14:textId="63FFB531" w:rsidR="0098769F" w:rsidRDefault="00BC2F61" w:rsidP="0098769F">
      <w:pPr>
        <w:jc w:val="both"/>
        <w:rPr>
          <w:b/>
          <w:sz w:val="24"/>
          <w:szCs w:val="24"/>
        </w:rPr>
      </w:pPr>
      <w:r w:rsidRPr="00B970F4">
        <w:rPr>
          <w:b/>
          <w:sz w:val="24"/>
          <w:szCs w:val="24"/>
        </w:rPr>
        <w:t>The Effect of Dividend Policy on Profitability</w:t>
      </w:r>
    </w:p>
    <w:p w14:paraId="323931BC" w14:textId="77777777" w:rsidR="0098769F" w:rsidRPr="0098769F" w:rsidRDefault="00BC2F61" w:rsidP="00B970F4">
      <w:pPr>
        <w:ind w:firstLine="567"/>
        <w:jc w:val="both"/>
        <w:rPr>
          <w:bCs/>
          <w:sz w:val="24"/>
          <w:szCs w:val="24"/>
        </w:rPr>
      </w:pPr>
      <w:r w:rsidRPr="00B970F4">
        <w:rPr>
          <w:bCs/>
          <w:sz w:val="24"/>
          <w:szCs w:val="24"/>
        </w:rPr>
        <w:t>The research findings indicate that dividend policy does not have a significant impact on the profitability of Islamic banks in Asia. This suggests that the Size of dividends distributed by Islamic banks to shareholders is not directly correlated with the bank's ability to generate profits. The primary focus of Islamic banks is on business sustainability, strengthening capital, and operational expansion rather than providing immediate returns to shareholders</w:t>
      </w:r>
      <w:r w:rsidRPr="0098769F">
        <w:rPr>
          <w:bCs/>
          <w:sz w:val="24"/>
          <w:szCs w:val="24"/>
        </w:rPr>
        <w:t>.</w:t>
      </w:r>
    </w:p>
    <w:p w14:paraId="5735D4DC" w14:textId="77777777" w:rsidR="001160DA" w:rsidRDefault="00BC2F61" w:rsidP="0098769F">
      <w:pPr>
        <w:ind w:firstLine="567"/>
        <w:jc w:val="both"/>
        <w:rPr>
          <w:bCs/>
          <w:sz w:val="24"/>
          <w:szCs w:val="24"/>
        </w:rPr>
      </w:pPr>
      <w:r w:rsidRPr="00B970F4">
        <w:rPr>
          <w:bCs/>
          <w:sz w:val="24"/>
          <w:szCs w:val="24"/>
        </w:rPr>
        <w:t>Islamic banking also possesses unique characteristics, such as adherence to Sharia principles that emphasize balance and fairness. Their dividend policies tend to prioritize long-term stability, supporting Sharia-compliant projects, and maintaining market competitiveness rather than merely maximizing profit distribution. Therefore, the profitability of Islamic banks is more influenced by other factors, such as operational efficiency, risk management, and financing strategies. These findings confirm that dividend policy is not the primary benchmark for financial success in Islamic banks but rather part of a long-term strategy to support sustainable growth.</w:t>
      </w:r>
    </w:p>
    <w:p w14:paraId="4733D469" w14:textId="77777777" w:rsidR="0098769F" w:rsidRPr="0098769F" w:rsidRDefault="0098769F" w:rsidP="0098769F">
      <w:pPr>
        <w:ind w:firstLine="567"/>
        <w:jc w:val="both"/>
        <w:rPr>
          <w:bCs/>
          <w:sz w:val="24"/>
          <w:szCs w:val="24"/>
        </w:rPr>
      </w:pPr>
    </w:p>
    <w:p w14:paraId="2A68ADD7" w14:textId="77777777" w:rsidR="00E43FDB" w:rsidRDefault="00BC2F61" w:rsidP="00E43FDB">
      <w:pPr>
        <w:spacing w:line="286" w:lineRule="auto"/>
        <w:jc w:val="both"/>
        <w:rPr>
          <w:b/>
          <w:sz w:val="28"/>
          <w:szCs w:val="28"/>
        </w:rPr>
      </w:pPr>
      <w:r>
        <w:rPr>
          <w:b/>
          <w:sz w:val="28"/>
          <w:szCs w:val="28"/>
        </w:rPr>
        <w:t>Conclusion</w:t>
      </w:r>
    </w:p>
    <w:p w14:paraId="0CE1E7F3" w14:textId="741E9B5B" w:rsidR="0098769F" w:rsidRDefault="00BC2F61" w:rsidP="00B970F4">
      <w:pPr>
        <w:ind w:firstLine="567"/>
        <w:contextualSpacing/>
        <w:jc w:val="both"/>
        <w:rPr>
          <w:sz w:val="24"/>
          <w:szCs w:val="24"/>
          <w:lang w:val="en-ID"/>
        </w:rPr>
      </w:pPr>
      <w:r w:rsidRPr="00B970F4">
        <w:rPr>
          <w:sz w:val="24"/>
          <w:szCs w:val="24"/>
          <w:lang w:val="en-ID"/>
        </w:rPr>
        <w:t xml:space="preserve">This research provides a deep understanding of the factors influencing the profitability of Islamic banks in Asia. Based on the analysis results, bank size has a positive and significant impact on profitability, highlighting the importance of economies of scale in improving efficiency and profit margins. In contrast, third-party funds have </w:t>
      </w:r>
      <w:r w:rsidR="00CC7019">
        <w:rPr>
          <w:sz w:val="24"/>
          <w:szCs w:val="24"/>
          <w:lang w:val="en-ID"/>
        </w:rPr>
        <w:t>adverse and essential effects</w:t>
      </w:r>
      <w:r w:rsidRPr="00B970F4">
        <w:rPr>
          <w:sz w:val="24"/>
          <w:szCs w:val="24"/>
          <w:lang w:val="en-ID"/>
        </w:rPr>
        <w:t xml:space="preserve">, indicating the need for more effective liquidity management to optimize </w:t>
      </w:r>
      <w:r w:rsidRPr="00B970F4">
        <w:rPr>
          <w:sz w:val="24"/>
          <w:szCs w:val="24"/>
        </w:rPr>
        <w:t>third-party funds</w:t>
      </w:r>
      <w:r w:rsidRPr="00B970F4">
        <w:rPr>
          <w:sz w:val="24"/>
          <w:szCs w:val="24"/>
          <w:lang w:val="en-ID"/>
        </w:rPr>
        <w:t>' contribution to the bank's profits. Meanwhile, dividend policy was found to have no significant impact, reflecting Islamic banks' focus on long-term business development and sustainability rather than immediate profit distribution to shareholders.</w:t>
      </w:r>
    </w:p>
    <w:p w14:paraId="518C1CC2" w14:textId="77777777" w:rsidR="0098769F" w:rsidRPr="0098769F" w:rsidRDefault="00BC2F61" w:rsidP="0098769F">
      <w:pPr>
        <w:ind w:firstLine="567"/>
        <w:contextualSpacing/>
        <w:jc w:val="both"/>
        <w:rPr>
          <w:sz w:val="24"/>
          <w:szCs w:val="24"/>
          <w:lang w:val="en-ID"/>
        </w:rPr>
      </w:pPr>
      <w:r w:rsidRPr="00B970F4">
        <w:rPr>
          <w:sz w:val="24"/>
          <w:szCs w:val="24"/>
        </w:rPr>
        <w:t>Theoretically, these findings enrich the literature on the profitability of Islamic banks, particularly in the Asian regional context, with its unique economic and cultural characteristics. This study also highlights the importance of considering internal factors such as operational efficiency and risk management in similar research. Practically, the results offer implications for policymakers and Islamic bank management to strengthen their fund management strategies, enhance economies of scale, and prioritize the allocation of productive resources. With this approach, Islamic banks can continue to grow while adhering to the principles of Sharia in their operations.</w:t>
      </w:r>
    </w:p>
    <w:p w14:paraId="07382342" w14:textId="77777777" w:rsidR="00E43FDB" w:rsidRDefault="00E43FDB" w:rsidP="00E43FDB">
      <w:pPr>
        <w:contextualSpacing/>
        <w:jc w:val="both"/>
        <w:rPr>
          <w:sz w:val="24"/>
          <w:szCs w:val="24"/>
        </w:rPr>
      </w:pPr>
    </w:p>
    <w:p w14:paraId="0FAD5A38" w14:textId="77777777" w:rsidR="00B970F4" w:rsidRDefault="00B970F4" w:rsidP="00E43FDB">
      <w:pPr>
        <w:contextualSpacing/>
        <w:jc w:val="both"/>
        <w:rPr>
          <w:sz w:val="24"/>
          <w:szCs w:val="24"/>
        </w:rPr>
      </w:pPr>
    </w:p>
    <w:p w14:paraId="086AD583" w14:textId="77777777" w:rsidR="00B970F4" w:rsidRDefault="00B970F4" w:rsidP="00E43FDB">
      <w:pPr>
        <w:contextualSpacing/>
        <w:jc w:val="both"/>
        <w:rPr>
          <w:sz w:val="24"/>
          <w:szCs w:val="24"/>
        </w:rPr>
      </w:pPr>
    </w:p>
    <w:p w14:paraId="20861C56" w14:textId="77777777" w:rsidR="00E43FDB" w:rsidRPr="000958B3" w:rsidRDefault="00BC2F61" w:rsidP="00E43FDB">
      <w:pPr>
        <w:contextualSpacing/>
        <w:jc w:val="both"/>
        <w:rPr>
          <w:b/>
          <w:bCs/>
          <w:sz w:val="28"/>
          <w:szCs w:val="28"/>
        </w:rPr>
      </w:pPr>
      <w:r>
        <w:rPr>
          <w:b/>
          <w:bCs/>
          <w:sz w:val="28"/>
          <w:szCs w:val="28"/>
        </w:rPr>
        <w:t>References</w:t>
      </w:r>
    </w:p>
    <w:p w14:paraId="53F9CEB5" w14:textId="77777777" w:rsidR="0098769F" w:rsidRPr="0098769F" w:rsidRDefault="00BC2F61" w:rsidP="0098769F">
      <w:pPr>
        <w:adjustRightInd w:val="0"/>
        <w:ind w:left="480" w:hanging="480"/>
        <w:jc w:val="both"/>
        <w:rPr>
          <w:noProof/>
          <w:sz w:val="24"/>
          <w:szCs w:val="24"/>
        </w:rPr>
      </w:pPr>
      <w:r>
        <w:rPr>
          <w:color w:val="000000"/>
          <w:sz w:val="24"/>
          <w:szCs w:val="24"/>
        </w:rPr>
        <w:fldChar w:fldCharType="begin" w:fldLock="1"/>
      </w:r>
      <w:r>
        <w:rPr>
          <w:color w:val="000000"/>
          <w:sz w:val="24"/>
          <w:szCs w:val="24"/>
        </w:rPr>
        <w:instrText xml:space="preserve">ADDIN Mendeley Bibliography CSL_BIBLIOGRAPHY </w:instrText>
      </w:r>
      <w:r>
        <w:rPr>
          <w:color w:val="000000"/>
          <w:sz w:val="24"/>
          <w:szCs w:val="24"/>
        </w:rPr>
        <w:fldChar w:fldCharType="separate"/>
      </w:r>
      <w:r w:rsidRPr="0098769F">
        <w:rPr>
          <w:noProof/>
          <w:sz w:val="24"/>
          <w:szCs w:val="24"/>
        </w:rPr>
        <w:t xml:space="preserve">Agustini, S. Y., and Fuadati, S. R. (2018). Pengaruh Rasio Keuangan Terhadap Kebijakan Dividen. </w:t>
      </w:r>
      <w:r w:rsidRPr="0098769F">
        <w:rPr>
          <w:i/>
          <w:iCs/>
          <w:noProof/>
          <w:sz w:val="24"/>
          <w:szCs w:val="24"/>
        </w:rPr>
        <w:t>Journal of Chemical Information and Modeling</w:t>
      </w:r>
      <w:r w:rsidRPr="0098769F">
        <w:rPr>
          <w:noProof/>
          <w:sz w:val="24"/>
          <w:szCs w:val="24"/>
        </w:rPr>
        <w:t xml:space="preserve">, </w:t>
      </w:r>
      <w:r w:rsidRPr="0098769F">
        <w:rPr>
          <w:i/>
          <w:iCs/>
          <w:noProof/>
          <w:sz w:val="24"/>
          <w:szCs w:val="24"/>
        </w:rPr>
        <w:t>53</w:t>
      </w:r>
      <w:r w:rsidRPr="0098769F">
        <w:rPr>
          <w:noProof/>
          <w:sz w:val="24"/>
          <w:szCs w:val="24"/>
        </w:rPr>
        <w:t>(9), 1689–1699.</w:t>
      </w:r>
    </w:p>
    <w:p w14:paraId="317BC9D3" w14:textId="2F251476" w:rsidR="0098769F" w:rsidRPr="0098769F" w:rsidRDefault="00BC2F61" w:rsidP="0098769F">
      <w:pPr>
        <w:adjustRightInd w:val="0"/>
        <w:ind w:left="480" w:hanging="480"/>
        <w:jc w:val="both"/>
        <w:rPr>
          <w:noProof/>
          <w:sz w:val="24"/>
          <w:szCs w:val="24"/>
        </w:rPr>
      </w:pPr>
      <w:r w:rsidRPr="0098769F">
        <w:rPr>
          <w:noProof/>
          <w:sz w:val="24"/>
          <w:szCs w:val="24"/>
        </w:rPr>
        <w:t xml:space="preserve">Ali, M. M., Hariyati, T., Pratiwi, M. Y., and Afifah, S. (2022). Metodologi Penelitian Kuantitatif dan Penerapannya dalam Penelitian. </w:t>
      </w:r>
      <w:r w:rsidRPr="0098769F">
        <w:rPr>
          <w:i/>
          <w:iCs/>
          <w:noProof/>
          <w:sz w:val="24"/>
          <w:szCs w:val="24"/>
        </w:rPr>
        <w:t xml:space="preserve">Education </w:t>
      </w:r>
      <w:r w:rsidR="007C73B8">
        <w:rPr>
          <w:i/>
          <w:iCs/>
          <w:noProof/>
          <w:sz w:val="24"/>
          <w:szCs w:val="24"/>
        </w:rPr>
        <w:t xml:space="preserve">Journal </w:t>
      </w:r>
      <w:r w:rsidRPr="0098769F">
        <w:rPr>
          <w:i/>
          <w:iCs/>
          <w:noProof/>
          <w:sz w:val="24"/>
          <w:szCs w:val="24"/>
        </w:rPr>
        <w:t>2022</w:t>
      </w:r>
      <w:r w:rsidRPr="0098769F">
        <w:rPr>
          <w:noProof/>
          <w:sz w:val="24"/>
          <w:szCs w:val="24"/>
        </w:rPr>
        <w:t xml:space="preserve">, </w:t>
      </w:r>
      <w:r w:rsidRPr="0098769F">
        <w:rPr>
          <w:i/>
          <w:iCs/>
          <w:noProof/>
          <w:sz w:val="24"/>
          <w:szCs w:val="24"/>
        </w:rPr>
        <w:t>2</w:t>
      </w:r>
      <w:r w:rsidRPr="0098769F">
        <w:rPr>
          <w:noProof/>
          <w:sz w:val="24"/>
          <w:szCs w:val="24"/>
        </w:rPr>
        <w:t>(2), 1–6.</w:t>
      </w:r>
    </w:p>
    <w:p w14:paraId="74FA75D9"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Ana, D. E., &amp; Zunaidi, A. (2022). Strategi Perbankan Syariah Dalam Memenangkan Persaingan Di Masa Pandemi Covid-19. </w:t>
      </w:r>
      <w:r w:rsidRPr="0098769F">
        <w:rPr>
          <w:i/>
          <w:iCs/>
          <w:noProof/>
          <w:sz w:val="24"/>
          <w:szCs w:val="24"/>
        </w:rPr>
        <w:t>Proceedings of Islamic Economics, Business, and Philanthropy</w:t>
      </w:r>
      <w:r w:rsidRPr="0098769F">
        <w:rPr>
          <w:noProof/>
          <w:sz w:val="24"/>
          <w:szCs w:val="24"/>
        </w:rPr>
        <w:t xml:space="preserve">, </w:t>
      </w:r>
      <w:r w:rsidRPr="0098769F">
        <w:rPr>
          <w:i/>
          <w:iCs/>
          <w:noProof/>
          <w:sz w:val="24"/>
          <w:szCs w:val="24"/>
        </w:rPr>
        <w:t>1</w:t>
      </w:r>
      <w:r w:rsidRPr="0098769F">
        <w:rPr>
          <w:noProof/>
          <w:sz w:val="24"/>
          <w:szCs w:val="24"/>
        </w:rPr>
        <w:t>(1), 167–188.</w:t>
      </w:r>
    </w:p>
    <w:p w14:paraId="4787E9A3"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Ardheta, P. A., and Sina, H. R. (2020). Pengaruh Capital Adequacy Ratio, Dana Pihak Ketiga, Non Performing Financing dan Pembiayaan Murabahah Terhadap Profitabilitas. </w:t>
      </w:r>
      <w:r w:rsidRPr="0098769F">
        <w:rPr>
          <w:i/>
          <w:iCs/>
          <w:noProof/>
          <w:sz w:val="24"/>
          <w:szCs w:val="24"/>
        </w:rPr>
        <w:t>Jurnal Akuntansi Dan Manajemen</w:t>
      </w:r>
      <w:r w:rsidRPr="0098769F">
        <w:rPr>
          <w:noProof/>
          <w:sz w:val="24"/>
          <w:szCs w:val="24"/>
        </w:rPr>
        <w:t xml:space="preserve">, </w:t>
      </w:r>
      <w:r w:rsidRPr="0098769F">
        <w:rPr>
          <w:i/>
          <w:iCs/>
          <w:noProof/>
          <w:sz w:val="24"/>
          <w:szCs w:val="24"/>
        </w:rPr>
        <w:t>17</w:t>
      </w:r>
      <w:r w:rsidRPr="0098769F">
        <w:rPr>
          <w:noProof/>
          <w:sz w:val="24"/>
          <w:szCs w:val="24"/>
        </w:rPr>
        <w:t>(02), 32–38. https://doi.org/10.36406/jam.v17i02.328</w:t>
      </w:r>
    </w:p>
    <w:p w14:paraId="441AE9F5"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Belianti, L., Ruhadi, R., and Setiawan, S. (2022). Pengaruh Indeks Maqashid Syariah dan Ukuran Perusahaan terhadap Profitabilitas. </w:t>
      </w:r>
      <w:r w:rsidRPr="0098769F">
        <w:rPr>
          <w:i/>
          <w:iCs/>
          <w:noProof/>
          <w:sz w:val="24"/>
          <w:szCs w:val="24"/>
        </w:rPr>
        <w:t>Indonesian Journal of Economics and Management</w:t>
      </w:r>
      <w:r w:rsidRPr="0098769F">
        <w:rPr>
          <w:noProof/>
          <w:sz w:val="24"/>
          <w:szCs w:val="24"/>
        </w:rPr>
        <w:t xml:space="preserve">, </w:t>
      </w:r>
      <w:r w:rsidRPr="0098769F">
        <w:rPr>
          <w:i/>
          <w:iCs/>
          <w:noProof/>
          <w:sz w:val="24"/>
          <w:szCs w:val="24"/>
        </w:rPr>
        <w:t>2</w:t>
      </w:r>
      <w:r w:rsidRPr="0098769F">
        <w:rPr>
          <w:noProof/>
          <w:sz w:val="24"/>
          <w:szCs w:val="24"/>
        </w:rPr>
        <w:t>(2), 441–451. https://doi.org/10.35313/ijem.v2i2.3692</w:t>
      </w:r>
    </w:p>
    <w:p w14:paraId="578E2A61"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Budi Gautama Siregar. (2021). Dana Pihak Ketiga Pada Perbankan Syariah Di Indonesia. </w:t>
      </w:r>
      <w:r w:rsidRPr="0098769F">
        <w:rPr>
          <w:i/>
          <w:iCs/>
          <w:noProof/>
          <w:sz w:val="24"/>
          <w:szCs w:val="24"/>
        </w:rPr>
        <w:t>Jurnal Penelitian Ekonomi Akuntansi (JENSI)</w:t>
      </w:r>
      <w:r w:rsidRPr="0098769F">
        <w:rPr>
          <w:noProof/>
          <w:sz w:val="24"/>
          <w:szCs w:val="24"/>
        </w:rPr>
        <w:t xml:space="preserve">, </w:t>
      </w:r>
      <w:r w:rsidRPr="0098769F">
        <w:rPr>
          <w:i/>
          <w:iCs/>
          <w:noProof/>
          <w:sz w:val="24"/>
          <w:szCs w:val="24"/>
        </w:rPr>
        <w:t>5</w:t>
      </w:r>
      <w:r w:rsidRPr="0098769F">
        <w:rPr>
          <w:noProof/>
          <w:sz w:val="24"/>
          <w:szCs w:val="24"/>
        </w:rPr>
        <w:t>(2), 111–121. https://doi.org/10.33059/jensi.v5i2.3995</w:t>
      </w:r>
    </w:p>
    <w:p w14:paraId="03FCA4EE"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Damayanti, A. C., and Mawardi, W. (2022). Pengaruh Ukuran Bank (Size), Loans to Deposit Ratio (LDR), Capital Adequacy Ratio (CAR), Non-Performing Loans (NPL), Diversifikasi Pendapatan, dan BOPO Terhadap Kinerja Bank di Indonesia (Studi Pada Bank Umum Konvensional yang Terdaftar di BEI Tahun 2016-. </w:t>
      </w:r>
      <w:r w:rsidRPr="0098769F">
        <w:rPr>
          <w:i/>
          <w:iCs/>
          <w:noProof/>
          <w:sz w:val="24"/>
          <w:szCs w:val="24"/>
        </w:rPr>
        <w:t>Diponegoro Journal of Management</w:t>
      </w:r>
      <w:r w:rsidRPr="0098769F">
        <w:rPr>
          <w:noProof/>
          <w:sz w:val="24"/>
          <w:szCs w:val="24"/>
        </w:rPr>
        <w:t xml:space="preserve">, </w:t>
      </w:r>
      <w:r w:rsidRPr="0098769F">
        <w:rPr>
          <w:i/>
          <w:iCs/>
          <w:noProof/>
          <w:sz w:val="24"/>
          <w:szCs w:val="24"/>
        </w:rPr>
        <w:t>11</w:t>
      </w:r>
      <w:r w:rsidRPr="0098769F">
        <w:rPr>
          <w:noProof/>
          <w:sz w:val="24"/>
          <w:szCs w:val="24"/>
        </w:rPr>
        <w:t>(1), 1–13.</w:t>
      </w:r>
    </w:p>
    <w:p w14:paraId="0E500233"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Ghozali, M., Azmi, M. U., and Nugroho, W. (2019). Perkembangan Bank Syariah Di Asia Tenggara: Sebuah Kajian Historis. </w:t>
      </w:r>
      <w:r w:rsidRPr="0098769F">
        <w:rPr>
          <w:i/>
          <w:iCs/>
          <w:noProof/>
          <w:sz w:val="24"/>
          <w:szCs w:val="24"/>
        </w:rPr>
        <w:t>Falah: Jurnal Ekonomi Syariah</w:t>
      </w:r>
      <w:r w:rsidRPr="0098769F">
        <w:rPr>
          <w:noProof/>
          <w:sz w:val="24"/>
          <w:szCs w:val="24"/>
        </w:rPr>
        <w:t xml:space="preserve">, </w:t>
      </w:r>
      <w:r w:rsidRPr="0098769F">
        <w:rPr>
          <w:i/>
          <w:iCs/>
          <w:noProof/>
          <w:sz w:val="24"/>
          <w:szCs w:val="24"/>
        </w:rPr>
        <w:t>4</w:t>
      </w:r>
      <w:r w:rsidRPr="0098769F">
        <w:rPr>
          <w:noProof/>
          <w:sz w:val="24"/>
          <w:szCs w:val="24"/>
        </w:rPr>
        <w:t>(1), 44. https://doi.org/10.22219/jes.v4i1.8700</w:t>
      </w:r>
    </w:p>
    <w:p w14:paraId="2E7119CC"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Hendari, S., Arifin, Z., Yulius, Y., and Hidayat, M. (2024). </w:t>
      </w:r>
      <w:r w:rsidRPr="0098769F">
        <w:rPr>
          <w:i/>
          <w:iCs/>
          <w:noProof/>
          <w:sz w:val="24"/>
          <w:szCs w:val="24"/>
        </w:rPr>
        <w:t>Penilaian Aspek Profitabilitas pada Bank yang Tercatat di Bursa Efek Indonesia Aspects of Profitability Determinants in Banking Listed on the Indonesia Stock Exchange</w:t>
      </w:r>
      <w:r w:rsidRPr="0098769F">
        <w:rPr>
          <w:noProof/>
          <w:sz w:val="24"/>
          <w:szCs w:val="24"/>
        </w:rPr>
        <w:t xml:space="preserve">. </w:t>
      </w:r>
      <w:r w:rsidRPr="0098769F">
        <w:rPr>
          <w:i/>
          <w:iCs/>
          <w:noProof/>
          <w:sz w:val="24"/>
          <w:szCs w:val="24"/>
        </w:rPr>
        <w:t>11</w:t>
      </w:r>
      <w:r w:rsidRPr="0098769F">
        <w:rPr>
          <w:noProof/>
          <w:sz w:val="24"/>
          <w:szCs w:val="24"/>
        </w:rPr>
        <w:t>, 23–36. https://doi.org/10.55963/jumpa.v11i1.604</w:t>
      </w:r>
    </w:p>
    <w:p w14:paraId="43F77496"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Henny, L. A. (2017). Pengaruh Kebijakan Dividen, Leverage dan Pertumbuhan Penjualan Terhadap Profitabilitas Pada Masa yang Akan Datang. </w:t>
      </w:r>
      <w:r w:rsidRPr="0098769F">
        <w:rPr>
          <w:i/>
          <w:iCs/>
          <w:noProof/>
          <w:sz w:val="24"/>
          <w:szCs w:val="24"/>
        </w:rPr>
        <w:t>Jurnal Akuntansi AKUNESA</w:t>
      </w:r>
      <w:r w:rsidRPr="0098769F">
        <w:rPr>
          <w:noProof/>
          <w:sz w:val="24"/>
          <w:szCs w:val="24"/>
        </w:rPr>
        <w:t xml:space="preserve">, </w:t>
      </w:r>
      <w:r w:rsidRPr="0098769F">
        <w:rPr>
          <w:i/>
          <w:iCs/>
          <w:noProof/>
          <w:sz w:val="24"/>
          <w:szCs w:val="24"/>
        </w:rPr>
        <w:t>5</w:t>
      </w:r>
      <w:r w:rsidRPr="0098769F">
        <w:rPr>
          <w:noProof/>
          <w:sz w:val="24"/>
          <w:szCs w:val="24"/>
        </w:rPr>
        <w:t>(3), 43–68.</w:t>
      </w:r>
    </w:p>
    <w:p w14:paraId="0740714B"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Hidayat, A., and Sunarsi, D. (2020). Faktor-Faktor Yang Mempengaruhi Dana Pihak Ketiga Dan Dampaknya Terhadap Profitabilitas. </w:t>
      </w:r>
      <w:r w:rsidRPr="0098769F">
        <w:rPr>
          <w:i/>
          <w:iCs/>
          <w:noProof/>
          <w:sz w:val="24"/>
          <w:szCs w:val="24"/>
        </w:rPr>
        <w:t>Jurnal Proaksi</w:t>
      </w:r>
      <w:r w:rsidRPr="0098769F">
        <w:rPr>
          <w:noProof/>
          <w:sz w:val="24"/>
          <w:szCs w:val="24"/>
        </w:rPr>
        <w:t xml:space="preserve">, </w:t>
      </w:r>
      <w:r w:rsidRPr="0098769F">
        <w:rPr>
          <w:i/>
          <w:iCs/>
          <w:noProof/>
          <w:sz w:val="24"/>
          <w:szCs w:val="24"/>
        </w:rPr>
        <w:t>1</w:t>
      </w:r>
      <w:r w:rsidRPr="0098769F">
        <w:rPr>
          <w:noProof/>
          <w:sz w:val="24"/>
          <w:szCs w:val="24"/>
        </w:rPr>
        <w:t>, 1–12.</w:t>
      </w:r>
    </w:p>
    <w:p w14:paraId="4E46F2B5"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Islamiah, I. N., Nurnasrina, Salman, N. F. B., and Huda, N. (2024). Transformasi Digital Pada Perbankan Syariah Indonesia: Produk IT Dan Jenis Transaksi. </w:t>
      </w:r>
      <w:r w:rsidRPr="0098769F">
        <w:rPr>
          <w:i/>
          <w:iCs/>
          <w:noProof/>
          <w:sz w:val="24"/>
          <w:szCs w:val="24"/>
        </w:rPr>
        <w:t>Sharing: Journal Of Islamic Economics, Management, and Business</w:t>
      </w:r>
      <w:r w:rsidRPr="0098769F">
        <w:rPr>
          <w:noProof/>
          <w:sz w:val="24"/>
          <w:szCs w:val="24"/>
        </w:rPr>
        <w:t xml:space="preserve">, </w:t>
      </w:r>
      <w:r w:rsidRPr="0098769F">
        <w:rPr>
          <w:i/>
          <w:iCs/>
          <w:noProof/>
          <w:sz w:val="24"/>
          <w:szCs w:val="24"/>
        </w:rPr>
        <w:t>3</w:t>
      </w:r>
      <w:r w:rsidRPr="0098769F">
        <w:rPr>
          <w:noProof/>
          <w:sz w:val="24"/>
          <w:szCs w:val="24"/>
        </w:rPr>
        <w:t>(1), 91–104.</w:t>
      </w:r>
    </w:p>
    <w:p w14:paraId="12D9E6E5"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Islamic finance development report. (2021). Islamic Finance Development Report 2021: Advancing economies. </w:t>
      </w:r>
      <w:r w:rsidRPr="0098769F">
        <w:rPr>
          <w:i/>
          <w:iCs/>
          <w:noProof/>
          <w:sz w:val="24"/>
          <w:szCs w:val="24"/>
        </w:rPr>
        <w:t>Refinitiv: An LSEG Business</w:t>
      </w:r>
      <w:r w:rsidRPr="0098769F">
        <w:rPr>
          <w:noProof/>
          <w:sz w:val="24"/>
          <w:szCs w:val="24"/>
        </w:rPr>
        <w:t>, 78.</w:t>
      </w:r>
    </w:p>
    <w:p w14:paraId="4C7B8A33"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Liana Susanto, L. P. (2019). Faktor Yang Mempengaruhi Profitabilitas Pada </w:t>
      </w:r>
      <w:r w:rsidRPr="0098769F">
        <w:rPr>
          <w:noProof/>
          <w:sz w:val="24"/>
          <w:szCs w:val="24"/>
        </w:rPr>
        <w:lastRenderedPageBreak/>
        <w:t xml:space="preserve">Perbankan Yang Terdaftar Di Bei. </w:t>
      </w:r>
      <w:r w:rsidRPr="0098769F">
        <w:rPr>
          <w:i/>
          <w:iCs/>
          <w:noProof/>
          <w:sz w:val="24"/>
          <w:szCs w:val="24"/>
        </w:rPr>
        <w:t>Jurnal Paradigma Akuntansi</w:t>
      </w:r>
      <w:r w:rsidRPr="0098769F">
        <w:rPr>
          <w:noProof/>
          <w:sz w:val="24"/>
          <w:szCs w:val="24"/>
        </w:rPr>
        <w:t xml:space="preserve">, </w:t>
      </w:r>
      <w:r w:rsidRPr="0098769F">
        <w:rPr>
          <w:i/>
          <w:iCs/>
          <w:noProof/>
          <w:sz w:val="24"/>
          <w:szCs w:val="24"/>
        </w:rPr>
        <w:t>1</w:t>
      </w:r>
      <w:r w:rsidRPr="0098769F">
        <w:rPr>
          <w:noProof/>
          <w:sz w:val="24"/>
          <w:szCs w:val="24"/>
        </w:rPr>
        <w:t>(2), 282. https://doi.org/10.24912/jpa.v1i2.4701</w:t>
      </w:r>
    </w:p>
    <w:p w14:paraId="3A71AA68"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Maula, I., and Jaya, T. J. (2022). Effect of Earning Asset Quality, Financial Leverage, and Company Size on Financial Performance of Sharia Commercial Banks. </w:t>
      </w:r>
      <w:r w:rsidRPr="0098769F">
        <w:rPr>
          <w:i/>
          <w:iCs/>
          <w:noProof/>
          <w:sz w:val="24"/>
          <w:szCs w:val="24"/>
        </w:rPr>
        <w:t>Jurnal Masharif Al-Syariah: Jurnal Ekonomi Dan Perbankan Syariah</w:t>
      </w:r>
      <w:r w:rsidRPr="0098769F">
        <w:rPr>
          <w:noProof/>
          <w:sz w:val="24"/>
          <w:szCs w:val="24"/>
        </w:rPr>
        <w:t xml:space="preserve">, </w:t>
      </w:r>
      <w:r w:rsidRPr="0098769F">
        <w:rPr>
          <w:i/>
          <w:iCs/>
          <w:noProof/>
          <w:sz w:val="24"/>
          <w:szCs w:val="24"/>
        </w:rPr>
        <w:t>7</w:t>
      </w:r>
      <w:r w:rsidRPr="0098769F">
        <w:rPr>
          <w:noProof/>
          <w:sz w:val="24"/>
          <w:szCs w:val="24"/>
        </w:rPr>
        <w:t>(2), 763–775.</w:t>
      </w:r>
    </w:p>
    <w:p w14:paraId="35A3367E"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Mei, V. N., Periode, P., Anatasya, A., and Susilowati, E. (2021). </w:t>
      </w:r>
      <w:r w:rsidRPr="0098769F">
        <w:rPr>
          <w:i/>
          <w:iCs/>
          <w:noProof/>
          <w:sz w:val="24"/>
          <w:szCs w:val="24"/>
        </w:rPr>
        <w:t>Pengaruh Bank Size , Nim , Dan Car Terhadap</w:t>
      </w:r>
      <w:r w:rsidRPr="0098769F">
        <w:rPr>
          <w:noProof/>
          <w:sz w:val="24"/>
          <w:szCs w:val="24"/>
        </w:rPr>
        <w:t xml:space="preserve">. </w:t>
      </w:r>
      <w:r w:rsidRPr="0098769F">
        <w:rPr>
          <w:i/>
          <w:iCs/>
          <w:noProof/>
          <w:sz w:val="24"/>
          <w:szCs w:val="24"/>
        </w:rPr>
        <w:t>1</w:t>
      </w:r>
      <w:r w:rsidRPr="0098769F">
        <w:rPr>
          <w:noProof/>
          <w:sz w:val="24"/>
          <w:szCs w:val="24"/>
        </w:rPr>
        <w:t>(1), 271–281.</w:t>
      </w:r>
    </w:p>
    <w:p w14:paraId="516E4A07"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Modal, P. S., Dan, K. D., and Candradewi, M. R. (2019). </w:t>
      </w:r>
      <w:r w:rsidRPr="0098769F">
        <w:rPr>
          <w:i/>
          <w:iCs/>
          <w:noProof/>
          <w:sz w:val="24"/>
          <w:szCs w:val="24"/>
        </w:rPr>
        <w:t>LIKUIDITAS TERHADAP PROFITABILITAS PERUSAHAAN PERBANKAN DI BURSA EFEK INDONESIA Fakultas Ekonomi dan Bisnis Universitas Udayana ( Unud ), Bali , Indonesia ABSTRAK Profitabilitas merupakan salah satu tolok ukur keberhasilan suatu perusahaan . Profitabilit</w:t>
      </w:r>
      <w:r w:rsidRPr="0098769F">
        <w:rPr>
          <w:noProof/>
          <w:sz w:val="24"/>
          <w:szCs w:val="24"/>
        </w:rPr>
        <w:t xml:space="preserve">y. </w:t>
      </w:r>
      <w:r w:rsidRPr="0098769F">
        <w:rPr>
          <w:i/>
          <w:iCs/>
          <w:noProof/>
          <w:sz w:val="24"/>
          <w:szCs w:val="24"/>
        </w:rPr>
        <w:t>8</w:t>
      </w:r>
      <w:r w:rsidRPr="0098769F">
        <w:rPr>
          <w:noProof/>
          <w:sz w:val="24"/>
          <w:szCs w:val="24"/>
        </w:rPr>
        <w:t>(8), 4871–4898.</w:t>
      </w:r>
    </w:p>
    <w:p w14:paraId="0F1AC89C"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Muzakki, N., and Ulfah, Y. (2023). </w:t>
      </w:r>
      <w:r w:rsidRPr="0098769F">
        <w:rPr>
          <w:i/>
          <w:iCs/>
          <w:noProof/>
          <w:sz w:val="24"/>
          <w:szCs w:val="24"/>
        </w:rPr>
        <w:t>Pengaruh profitabilitas terhadap kebijakan dividen dengan likuiditas sebagai variabel moderasi</w:t>
      </w:r>
      <w:r w:rsidRPr="0098769F">
        <w:rPr>
          <w:noProof/>
          <w:sz w:val="24"/>
          <w:szCs w:val="24"/>
        </w:rPr>
        <w:t xml:space="preserve">. </w:t>
      </w:r>
      <w:r w:rsidRPr="0098769F">
        <w:rPr>
          <w:i/>
          <w:iCs/>
          <w:noProof/>
          <w:sz w:val="24"/>
          <w:szCs w:val="24"/>
        </w:rPr>
        <w:t>4</w:t>
      </w:r>
      <w:r w:rsidRPr="0098769F">
        <w:rPr>
          <w:noProof/>
          <w:sz w:val="24"/>
          <w:szCs w:val="24"/>
        </w:rPr>
        <w:t>(4), 924–931.</w:t>
      </w:r>
    </w:p>
    <w:p w14:paraId="118EC8E3"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Najhah, D., Gunistiyo, and Amin, M. A. N. A. (2023). </w:t>
      </w:r>
      <w:r w:rsidRPr="0098769F">
        <w:rPr>
          <w:i/>
          <w:iCs/>
          <w:noProof/>
          <w:sz w:val="24"/>
          <w:szCs w:val="24"/>
        </w:rPr>
        <w:t>Pengaruh Non Performing Loan , BOPO dan Firm Size Terhadap Profitabilitas</w:t>
      </w:r>
      <w:r w:rsidRPr="0098769F">
        <w:rPr>
          <w:noProof/>
          <w:sz w:val="24"/>
          <w:szCs w:val="24"/>
        </w:rPr>
        <w:t xml:space="preserve">. </w:t>
      </w:r>
      <w:r w:rsidRPr="0098769F">
        <w:rPr>
          <w:i/>
          <w:iCs/>
          <w:noProof/>
          <w:sz w:val="24"/>
          <w:szCs w:val="24"/>
        </w:rPr>
        <w:t>4</w:t>
      </w:r>
      <w:r w:rsidRPr="0098769F">
        <w:rPr>
          <w:noProof/>
          <w:sz w:val="24"/>
          <w:szCs w:val="24"/>
        </w:rPr>
        <w:t>(1), 21–38.</w:t>
      </w:r>
    </w:p>
    <w:p w14:paraId="2DBD797E"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Pitchay, A. A., Malim, N. A. K., and Masron, T. A. (2017). Determinants of Islamic Banks’ Margins in Asian Countries. </w:t>
      </w:r>
      <w:r w:rsidRPr="0098769F">
        <w:rPr>
          <w:i/>
          <w:iCs/>
          <w:noProof/>
          <w:sz w:val="24"/>
          <w:szCs w:val="24"/>
        </w:rPr>
        <w:t>Journal of Islamic Finance</w:t>
      </w:r>
      <w:r w:rsidRPr="0098769F">
        <w:rPr>
          <w:noProof/>
          <w:sz w:val="24"/>
          <w:szCs w:val="24"/>
        </w:rPr>
        <w:t xml:space="preserve">, </w:t>
      </w:r>
      <w:r w:rsidRPr="0098769F">
        <w:rPr>
          <w:i/>
          <w:iCs/>
          <w:noProof/>
          <w:sz w:val="24"/>
          <w:szCs w:val="24"/>
        </w:rPr>
        <w:t>6</w:t>
      </w:r>
      <w:r w:rsidRPr="0098769F">
        <w:rPr>
          <w:noProof/>
          <w:sz w:val="24"/>
          <w:szCs w:val="24"/>
        </w:rPr>
        <w:t>(Special Issue), 46–53. https://doi.org/10.12816/0047339</w:t>
      </w:r>
    </w:p>
    <w:p w14:paraId="58EAA61F"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Rimawan, M., Muniarty, P., Alwi, A., Mutiah, H., and Pratiwi, A. (2023). Analisis Pengaruh Kebijakan Deviden dan Struktur Modal terhadap Nilai Perusahaan dengan Profitabilitas sebagai Pemoderasi pada Perusahaan Perbankan yang Listing di BEI. </w:t>
      </w:r>
      <w:r w:rsidRPr="0098769F">
        <w:rPr>
          <w:i/>
          <w:iCs/>
          <w:noProof/>
          <w:sz w:val="24"/>
          <w:szCs w:val="24"/>
        </w:rPr>
        <w:t>Jesya</w:t>
      </w:r>
      <w:r w:rsidRPr="0098769F">
        <w:rPr>
          <w:noProof/>
          <w:sz w:val="24"/>
          <w:szCs w:val="24"/>
        </w:rPr>
        <w:t xml:space="preserve">, </w:t>
      </w:r>
      <w:r w:rsidRPr="0098769F">
        <w:rPr>
          <w:i/>
          <w:iCs/>
          <w:noProof/>
          <w:sz w:val="24"/>
          <w:szCs w:val="24"/>
        </w:rPr>
        <w:t>6</w:t>
      </w:r>
      <w:r w:rsidRPr="0098769F">
        <w:rPr>
          <w:noProof/>
          <w:sz w:val="24"/>
          <w:szCs w:val="24"/>
        </w:rPr>
        <w:t>(1), 1029–1041. https://doi.org/10.36778/jesya.v6i1.1071</w:t>
      </w:r>
    </w:p>
    <w:p w14:paraId="3CF3DAD0"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Romdhoni, A. (2019). </w:t>
      </w:r>
      <w:r w:rsidRPr="0098769F">
        <w:rPr>
          <w:i/>
          <w:iCs/>
          <w:noProof/>
          <w:sz w:val="24"/>
          <w:szCs w:val="24"/>
        </w:rPr>
        <w:t>Semiotik Metodologi Penelitian</w:t>
      </w:r>
      <w:r w:rsidRPr="0098769F">
        <w:rPr>
          <w:noProof/>
          <w:sz w:val="24"/>
          <w:szCs w:val="24"/>
        </w:rPr>
        <w:t>. Literatur Nusantara.</w:t>
      </w:r>
    </w:p>
    <w:p w14:paraId="721E3873"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Sugiyono, S. (2017). Metode Penelitian Kuantitatif, Kualitatif Dan R &amp; D. </w:t>
      </w:r>
      <w:r w:rsidRPr="0098769F">
        <w:rPr>
          <w:i/>
          <w:iCs/>
          <w:noProof/>
          <w:sz w:val="24"/>
          <w:szCs w:val="24"/>
        </w:rPr>
        <w:t>ALFABETA</w:t>
      </w:r>
      <w:r w:rsidRPr="0098769F">
        <w:rPr>
          <w:noProof/>
          <w:sz w:val="24"/>
          <w:szCs w:val="24"/>
        </w:rPr>
        <w:t>.</w:t>
      </w:r>
    </w:p>
    <w:p w14:paraId="0C687A48"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Tartila, M. (2022). Strategi Industri Perbankan Syariah dalam Menghadapi Era Digital. </w:t>
      </w:r>
      <w:r w:rsidRPr="0098769F">
        <w:rPr>
          <w:i/>
          <w:iCs/>
          <w:noProof/>
          <w:sz w:val="24"/>
          <w:szCs w:val="24"/>
        </w:rPr>
        <w:t>Jurnal Ilmiah Ekonomi Islam</w:t>
      </w:r>
      <w:r w:rsidRPr="0098769F">
        <w:rPr>
          <w:noProof/>
          <w:sz w:val="24"/>
          <w:szCs w:val="24"/>
        </w:rPr>
        <w:t xml:space="preserve">, </w:t>
      </w:r>
      <w:r w:rsidRPr="0098769F">
        <w:rPr>
          <w:i/>
          <w:iCs/>
          <w:noProof/>
          <w:sz w:val="24"/>
          <w:szCs w:val="24"/>
        </w:rPr>
        <w:t>8</w:t>
      </w:r>
      <w:r w:rsidRPr="0098769F">
        <w:rPr>
          <w:noProof/>
          <w:sz w:val="24"/>
          <w:szCs w:val="24"/>
        </w:rPr>
        <w:t>(3), 3310. https://doi.org/10.29040/jiei.v8i3.6408</w:t>
      </w:r>
    </w:p>
    <w:p w14:paraId="1F27E237" w14:textId="77777777" w:rsidR="0098769F" w:rsidRPr="0098769F" w:rsidRDefault="00BC2F61" w:rsidP="0098769F">
      <w:pPr>
        <w:adjustRightInd w:val="0"/>
        <w:ind w:left="480" w:hanging="480"/>
        <w:jc w:val="both"/>
        <w:rPr>
          <w:noProof/>
          <w:sz w:val="24"/>
          <w:szCs w:val="24"/>
        </w:rPr>
      </w:pPr>
      <w:r w:rsidRPr="0098769F">
        <w:rPr>
          <w:noProof/>
          <w:sz w:val="24"/>
          <w:szCs w:val="24"/>
        </w:rPr>
        <w:t xml:space="preserve">Yuliana, I. R., and Listari, S. (2021). Pengaruh CAR, FDR, Dan BOPO Terhadap ROA Pada Bank Syariah Di Indonesia. </w:t>
      </w:r>
      <w:r w:rsidRPr="0098769F">
        <w:rPr>
          <w:i/>
          <w:iCs/>
          <w:noProof/>
          <w:sz w:val="24"/>
          <w:szCs w:val="24"/>
        </w:rPr>
        <w:t>Jurnal Ilmiah Akuntansi Kesatuan</w:t>
      </w:r>
      <w:r w:rsidRPr="0098769F">
        <w:rPr>
          <w:noProof/>
          <w:sz w:val="24"/>
          <w:szCs w:val="24"/>
        </w:rPr>
        <w:t xml:space="preserve">, </w:t>
      </w:r>
      <w:r w:rsidRPr="0098769F">
        <w:rPr>
          <w:i/>
          <w:iCs/>
          <w:noProof/>
          <w:sz w:val="24"/>
          <w:szCs w:val="24"/>
        </w:rPr>
        <w:t>9</w:t>
      </w:r>
      <w:r w:rsidRPr="0098769F">
        <w:rPr>
          <w:noProof/>
          <w:sz w:val="24"/>
          <w:szCs w:val="24"/>
        </w:rPr>
        <w:t>(2), 309–334.</w:t>
      </w:r>
    </w:p>
    <w:p w14:paraId="581E2B73" w14:textId="77777777" w:rsidR="0098769F" w:rsidRPr="0098769F" w:rsidRDefault="00BC2F61" w:rsidP="0098769F">
      <w:pPr>
        <w:adjustRightInd w:val="0"/>
        <w:ind w:left="480" w:hanging="480"/>
        <w:jc w:val="both"/>
        <w:rPr>
          <w:noProof/>
          <w:sz w:val="24"/>
        </w:rPr>
      </w:pPr>
      <w:r w:rsidRPr="0098769F">
        <w:rPr>
          <w:noProof/>
          <w:sz w:val="24"/>
          <w:szCs w:val="24"/>
        </w:rPr>
        <w:t xml:space="preserve">Yuniar, D., and Yuningsih, I. (2023). Pengaruh Dana Pihak Ketiga (DPK), Capital Adequacy Ratio (CAR), Non-Performing Financing (NPF) dan Biaya Operasional terhadap Pendapatan Operasional (BOPO) terhadap Profitabilitas pada Bank Umum Syariah. </w:t>
      </w:r>
      <w:r w:rsidRPr="0098769F">
        <w:rPr>
          <w:i/>
          <w:iCs/>
          <w:noProof/>
          <w:sz w:val="24"/>
          <w:szCs w:val="24"/>
        </w:rPr>
        <w:t>JESM: Jurnal Ekonomi Syariah Mulawarman</w:t>
      </w:r>
      <w:r w:rsidRPr="0098769F">
        <w:rPr>
          <w:noProof/>
          <w:sz w:val="24"/>
          <w:szCs w:val="24"/>
        </w:rPr>
        <w:t xml:space="preserve">, </w:t>
      </w:r>
      <w:r w:rsidRPr="0098769F">
        <w:rPr>
          <w:i/>
          <w:iCs/>
          <w:noProof/>
          <w:sz w:val="24"/>
          <w:szCs w:val="24"/>
        </w:rPr>
        <w:t>2</w:t>
      </w:r>
      <w:r w:rsidRPr="0098769F">
        <w:rPr>
          <w:noProof/>
          <w:sz w:val="24"/>
          <w:szCs w:val="24"/>
        </w:rPr>
        <w:t>(1), 27–36.</w:t>
      </w:r>
    </w:p>
    <w:p w14:paraId="1875C1F5" w14:textId="77777777" w:rsidR="000958B3" w:rsidRDefault="00BC2F61" w:rsidP="000958B3">
      <w:pPr>
        <w:ind w:left="720" w:hanging="720"/>
        <w:contextualSpacing/>
        <w:jc w:val="both"/>
        <w:rPr>
          <w:color w:val="000000"/>
          <w:sz w:val="24"/>
          <w:szCs w:val="24"/>
        </w:rPr>
      </w:pPr>
      <w:r>
        <w:rPr>
          <w:color w:val="000000"/>
          <w:sz w:val="24"/>
          <w:szCs w:val="24"/>
        </w:rPr>
        <w:fldChar w:fldCharType="end"/>
      </w:r>
    </w:p>
    <w:sectPr w:rsidR="000958B3" w:rsidSect="00172EE0">
      <w:type w:val="evenPage"/>
      <w:pgSz w:w="11906" w:h="16838" w:code="9"/>
      <w:pgMar w:top="1701" w:right="1701" w:bottom="1701" w:left="2268" w:header="709" w:footer="851" w:gutter="0"/>
      <w:cols w:space="56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EE5B" w14:textId="77777777" w:rsidR="00AF38CA" w:rsidRDefault="00AF38CA">
      <w:r>
        <w:separator/>
      </w:r>
    </w:p>
  </w:endnote>
  <w:endnote w:type="continuationSeparator" w:id="0">
    <w:p w14:paraId="25B327D9" w14:textId="77777777" w:rsidR="00AF38CA" w:rsidRDefault="00AF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765538"/>
      <w:docPartObj>
        <w:docPartGallery w:val="Page Numbers (Bottom of Page)"/>
        <w:docPartUnique/>
      </w:docPartObj>
    </w:sdtPr>
    <w:sdtEndPr>
      <w:rPr>
        <w:noProof/>
      </w:rPr>
    </w:sdtEndPr>
    <w:sdtContent>
      <w:p w14:paraId="7D4628D2" w14:textId="77777777" w:rsidR="008A6A6E" w:rsidRDefault="00BC2F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990DE8" w14:textId="77777777" w:rsidR="008A6A6E" w:rsidRDefault="008A6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505594"/>
      <w:docPartObj>
        <w:docPartGallery w:val="Page Numbers (Bottom of Page)"/>
        <w:docPartUnique/>
      </w:docPartObj>
    </w:sdtPr>
    <w:sdtEndPr>
      <w:rPr>
        <w:noProof/>
      </w:rPr>
    </w:sdtEndPr>
    <w:sdtContent>
      <w:p w14:paraId="55093FAB" w14:textId="4A4B33FB" w:rsidR="00301519" w:rsidRDefault="003015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906B53" w14:textId="7F702716" w:rsidR="003777DA" w:rsidRPr="00301519" w:rsidRDefault="003777DA" w:rsidP="00301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FBF2" w14:textId="77777777" w:rsidR="00AF38CA" w:rsidRDefault="00AF38CA">
      <w:r>
        <w:separator/>
      </w:r>
    </w:p>
  </w:footnote>
  <w:footnote w:type="continuationSeparator" w:id="0">
    <w:p w14:paraId="44B3BE5E" w14:textId="77777777" w:rsidR="00AF38CA" w:rsidRDefault="00AF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723455"/>
      <w:docPartObj>
        <w:docPartGallery w:val="Page Numbers (Top of Page)"/>
        <w:docPartUnique/>
      </w:docPartObj>
    </w:sdtPr>
    <w:sdtEndPr>
      <w:rPr>
        <w:noProof/>
      </w:rPr>
    </w:sdtEndPr>
    <w:sdtContent>
      <w:p w14:paraId="2B254024" w14:textId="77777777" w:rsidR="003777DA" w:rsidRDefault="00BC2F61">
        <w:pPr>
          <w:pStyle w:val="Header"/>
        </w:pPr>
        <w:r w:rsidRPr="00F32228">
          <w:rPr>
            <w:b/>
          </w:rPr>
          <w:fldChar w:fldCharType="begin"/>
        </w:r>
        <w:r w:rsidRPr="00F32228">
          <w:rPr>
            <w:b/>
          </w:rPr>
          <w:instrText xml:space="preserve"> PAGE   \* MERGEFORMAT </w:instrText>
        </w:r>
        <w:r w:rsidRPr="00F32228">
          <w:rPr>
            <w:b/>
          </w:rPr>
          <w:fldChar w:fldCharType="separate"/>
        </w:r>
        <w:r w:rsidR="00A57649">
          <w:rPr>
            <w:b/>
            <w:noProof/>
          </w:rPr>
          <w:t>80</w:t>
        </w:r>
        <w:r w:rsidRPr="00F32228">
          <w:rPr>
            <w:b/>
            <w:noProof/>
          </w:rPr>
          <w:fldChar w:fldCharType="end"/>
        </w:r>
        <w:r>
          <w:rPr>
            <w:noProof/>
          </w:rPr>
          <w:t xml:space="preserve">  JMK (Jurnal Manajemen dan Kewirausahaan)  </w:t>
        </w:r>
        <w:r w:rsidR="00BC0250">
          <w:rPr>
            <w:noProof/>
          </w:rPr>
          <w:t>6</w:t>
        </w:r>
        <w:r>
          <w:rPr>
            <w:noProof/>
          </w:rPr>
          <w:t xml:space="preserve"> (</w:t>
        </w:r>
        <w:r w:rsidR="00BC0250">
          <w:rPr>
            <w:noProof/>
          </w:rPr>
          <w:t>1</w:t>
        </w:r>
        <w:r>
          <w:rPr>
            <w:noProof/>
          </w:rPr>
          <w:t>) 202</w:t>
        </w:r>
        <w:r w:rsidR="00BC0250">
          <w:rPr>
            <w:noProof/>
          </w:rPr>
          <w:t>1</w:t>
        </w:r>
        <w:r>
          <w:rPr>
            <w:noProof/>
          </w:rPr>
          <w:t xml:space="preserve">, </w:t>
        </w:r>
        <w:r w:rsidR="00305DAB">
          <w:rPr>
            <w:noProof/>
          </w:rPr>
          <w:t>1</w:t>
        </w:r>
        <w:r>
          <w:rPr>
            <w:noProof/>
          </w:rPr>
          <w:t>-</w:t>
        </w:r>
        <w:r w:rsidR="00305DAB">
          <w:rPr>
            <w:noProof/>
          </w:rPr>
          <w:t>10</w:t>
        </w:r>
      </w:p>
    </w:sdtContent>
  </w:sdt>
  <w:p w14:paraId="4F1A7780" w14:textId="77777777" w:rsidR="003777DA" w:rsidRDefault="00377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BF36" w14:textId="0B6EFFFD" w:rsidR="003777DA" w:rsidRPr="003A1264" w:rsidRDefault="00F6348C" w:rsidP="008A6A6E">
    <w:pPr>
      <w:pStyle w:val="Header"/>
      <w:jc w:val="center"/>
      <w:rPr>
        <w:lang w:val="en-US"/>
      </w:rPr>
    </w:pPr>
    <w:r>
      <w:rPr>
        <w:lang w:val="en-US"/>
      </w:rPr>
      <w:t>Bagus</w:t>
    </w:r>
    <w:r w:rsidR="00C85854">
      <w:rPr>
        <w:lang w:val="en-US"/>
      </w:rPr>
      <w:t xml:space="preserve"> &amp;</w:t>
    </w:r>
    <w:r w:rsidR="003A1264">
      <w:rPr>
        <w:lang w:val="en-US"/>
      </w:rPr>
      <w:t xml:space="preserve"> Tiara</w:t>
    </w:r>
    <w:r w:rsidR="001E1F8D">
      <w:t xml:space="preserve"> </w:t>
    </w:r>
    <w:r w:rsidR="00BC2F61">
      <w:t>/</w:t>
    </w:r>
    <w:r w:rsidR="00BC2F61" w:rsidRPr="00EB1411">
      <w:t xml:space="preserve"> </w:t>
    </w:r>
    <w:r w:rsidR="001E1F8D">
      <w:t xml:space="preserve">Jurnal Manajemen dan Kewirausahaan </w:t>
    </w:r>
    <w:r w:rsidR="00172EE0">
      <w:rPr>
        <w:lang w:val="en-US"/>
      </w:rPr>
      <w:t>10</w:t>
    </w:r>
    <w:r w:rsidR="001E1F8D">
      <w:t xml:space="preserve"> (</w:t>
    </w:r>
    <w:r w:rsidR="003A1264">
      <w:rPr>
        <w:lang w:val="en-US"/>
      </w:rPr>
      <w:t>1</w:t>
    </w:r>
    <w:r w:rsidR="001E1F8D">
      <w:t>) 20</w:t>
    </w:r>
    <w:r w:rsidR="003A1264">
      <w:rPr>
        <w:lang w:val="en-US"/>
      </w:rPr>
      <w:t>25</w:t>
    </w:r>
    <w:r w:rsidR="001E1F8D">
      <w:t xml:space="preserve">, </w:t>
    </w:r>
    <w:r w:rsidR="003A1264">
      <w:rPr>
        <w:lang w:val="en-US"/>
      </w:rPr>
      <w:t>1</w:t>
    </w:r>
    <w:r w:rsidR="00172EE0">
      <w:rPr>
        <w:lang w:val="en-US"/>
      </w:rPr>
      <w:t>3</w:t>
    </w:r>
    <w:r w:rsidR="001E1F8D">
      <w:t>-</w:t>
    </w:r>
    <w:r w:rsidR="003A1264">
      <w:rPr>
        <w:lang w:val="en-US"/>
      </w:rPr>
      <w:t>2</w:t>
    </w:r>
    <w:r w:rsidR="00172EE0">
      <w:rPr>
        <w:lang w:val="en-US"/>
      </w:rPr>
      <w:t>4</w:t>
    </w:r>
  </w:p>
  <w:p w14:paraId="6E074A1D" w14:textId="77777777" w:rsidR="003777DA" w:rsidRPr="00931FD1" w:rsidRDefault="003777DA" w:rsidP="00931FD1">
    <w:pPr>
      <w:pStyle w:val="Header"/>
      <w:tabs>
        <w:tab w:val="clear" w:pos="4513"/>
        <w:tab w:val="clear" w:pos="9026"/>
      </w:tabs>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15CB" w14:textId="77777777" w:rsidR="00925698" w:rsidRPr="00925698" w:rsidRDefault="00925698" w:rsidP="00925698">
    <w:pPr>
      <w:pStyle w:val="Header"/>
      <w:rPr>
        <w:b/>
        <w:bCs/>
        <w:sz w:val="32"/>
        <w:szCs w:val="32"/>
      </w:rPr>
    </w:pPr>
    <w:r w:rsidRPr="00925698">
      <w:rPr>
        <w:b/>
        <w:bCs/>
        <w:sz w:val="32"/>
        <w:szCs w:val="32"/>
      </w:rPr>
      <w:t>JMK (Jurnal Manajemen dan Kewirausahaan)</w:t>
    </w:r>
  </w:p>
  <w:p w14:paraId="35B7E7DC" w14:textId="77777777" w:rsidR="00925698" w:rsidRPr="00925698" w:rsidRDefault="00925698" w:rsidP="00925698">
    <w:pPr>
      <w:pStyle w:val="Header"/>
      <w:rPr>
        <w:sz w:val="24"/>
        <w:szCs w:val="24"/>
      </w:rPr>
    </w:pPr>
    <w:r w:rsidRPr="00925698">
      <w:rPr>
        <w:sz w:val="24"/>
        <w:szCs w:val="24"/>
      </w:rPr>
      <w:t>http://ejournal.uniska-kediri.ac.id/index.php/ManajemenKewirausahaan</w:t>
    </w:r>
  </w:p>
  <w:p w14:paraId="6B46B7F7" w14:textId="7A8DB647" w:rsidR="00925698" w:rsidRPr="00804966" w:rsidRDefault="00925698" w:rsidP="00925698">
    <w:pPr>
      <w:pStyle w:val="Header"/>
      <w:rPr>
        <w:sz w:val="24"/>
        <w:szCs w:val="24"/>
        <w:lang w:val="en-US"/>
      </w:rPr>
    </w:pPr>
    <w:r w:rsidRPr="00925698">
      <w:rPr>
        <w:sz w:val="24"/>
        <w:szCs w:val="24"/>
      </w:rPr>
      <w:t>JMK 10 (1) 2025, 1</w:t>
    </w:r>
    <w:r w:rsidR="00804966">
      <w:rPr>
        <w:sz w:val="24"/>
        <w:szCs w:val="24"/>
        <w:lang w:val="en-US"/>
      </w:rPr>
      <w:t>3</w:t>
    </w:r>
    <w:r w:rsidRPr="00925698">
      <w:rPr>
        <w:sz w:val="24"/>
        <w:szCs w:val="24"/>
      </w:rPr>
      <w:t>-2</w:t>
    </w:r>
    <w:r w:rsidR="00804966">
      <w:rPr>
        <w:sz w:val="24"/>
        <w:szCs w:val="24"/>
        <w:lang w:val="en-US"/>
      </w:rPr>
      <w:t>4</w:t>
    </w:r>
  </w:p>
  <w:p w14:paraId="42C468A5" w14:textId="7009D130" w:rsidR="003777DA" w:rsidRDefault="00925698" w:rsidP="00651FD0">
    <w:pPr>
      <w:pStyle w:val="Header"/>
      <w:jc w:val="right"/>
    </w:pPr>
    <w:r>
      <w:t>P-ISSN 2477-3166</w:t>
    </w:r>
    <w:r>
      <w:rPr>
        <w:lang w:val="en-US"/>
      </w:rPr>
      <w:t xml:space="preserve">     </w:t>
    </w:r>
    <w:r>
      <w:t>E-ISSN 2656-0771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3FA"/>
    <w:multiLevelType w:val="hybridMultilevel"/>
    <w:tmpl w:val="E84085B0"/>
    <w:lvl w:ilvl="0" w:tplc="6C7C4930">
      <w:start w:val="1"/>
      <w:numFmt w:val="bullet"/>
      <w:lvlText w:val=""/>
      <w:lvlJc w:val="left"/>
      <w:pPr>
        <w:ind w:left="1080" w:hanging="360"/>
      </w:pPr>
      <w:rPr>
        <w:rFonts w:ascii="Symbol" w:hAnsi="Symbol" w:hint="default"/>
      </w:rPr>
    </w:lvl>
    <w:lvl w:ilvl="1" w:tplc="3C306228" w:tentative="1">
      <w:start w:val="1"/>
      <w:numFmt w:val="bullet"/>
      <w:lvlText w:val="o"/>
      <w:lvlJc w:val="left"/>
      <w:pPr>
        <w:ind w:left="1800" w:hanging="360"/>
      </w:pPr>
      <w:rPr>
        <w:rFonts w:ascii="Courier New" w:hAnsi="Courier New" w:cs="Courier New" w:hint="default"/>
      </w:rPr>
    </w:lvl>
    <w:lvl w:ilvl="2" w:tplc="0B621348" w:tentative="1">
      <w:start w:val="1"/>
      <w:numFmt w:val="bullet"/>
      <w:lvlText w:val=""/>
      <w:lvlJc w:val="left"/>
      <w:pPr>
        <w:ind w:left="2520" w:hanging="360"/>
      </w:pPr>
      <w:rPr>
        <w:rFonts w:ascii="Wingdings" w:hAnsi="Wingdings" w:hint="default"/>
      </w:rPr>
    </w:lvl>
    <w:lvl w:ilvl="3" w:tplc="1EE834EA" w:tentative="1">
      <w:start w:val="1"/>
      <w:numFmt w:val="bullet"/>
      <w:lvlText w:val=""/>
      <w:lvlJc w:val="left"/>
      <w:pPr>
        <w:ind w:left="3240" w:hanging="360"/>
      </w:pPr>
      <w:rPr>
        <w:rFonts w:ascii="Symbol" w:hAnsi="Symbol" w:hint="default"/>
      </w:rPr>
    </w:lvl>
    <w:lvl w:ilvl="4" w:tplc="608C5EEE" w:tentative="1">
      <w:start w:val="1"/>
      <w:numFmt w:val="bullet"/>
      <w:lvlText w:val="o"/>
      <w:lvlJc w:val="left"/>
      <w:pPr>
        <w:ind w:left="3960" w:hanging="360"/>
      </w:pPr>
      <w:rPr>
        <w:rFonts w:ascii="Courier New" w:hAnsi="Courier New" w:cs="Courier New" w:hint="default"/>
      </w:rPr>
    </w:lvl>
    <w:lvl w:ilvl="5" w:tplc="572E01D8" w:tentative="1">
      <w:start w:val="1"/>
      <w:numFmt w:val="bullet"/>
      <w:lvlText w:val=""/>
      <w:lvlJc w:val="left"/>
      <w:pPr>
        <w:ind w:left="4680" w:hanging="360"/>
      </w:pPr>
      <w:rPr>
        <w:rFonts w:ascii="Wingdings" w:hAnsi="Wingdings" w:hint="default"/>
      </w:rPr>
    </w:lvl>
    <w:lvl w:ilvl="6" w:tplc="F9C22A4C" w:tentative="1">
      <w:start w:val="1"/>
      <w:numFmt w:val="bullet"/>
      <w:lvlText w:val=""/>
      <w:lvlJc w:val="left"/>
      <w:pPr>
        <w:ind w:left="5400" w:hanging="360"/>
      </w:pPr>
      <w:rPr>
        <w:rFonts w:ascii="Symbol" w:hAnsi="Symbol" w:hint="default"/>
      </w:rPr>
    </w:lvl>
    <w:lvl w:ilvl="7" w:tplc="1AEE7202" w:tentative="1">
      <w:start w:val="1"/>
      <w:numFmt w:val="bullet"/>
      <w:lvlText w:val="o"/>
      <w:lvlJc w:val="left"/>
      <w:pPr>
        <w:ind w:left="6120" w:hanging="360"/>
      </w:pPr>
      <w:rPr>
        <w:rFonts w:ascii="Courier New" w:hAnsi="Courier New" w:cs="Courier New" w:hint="default"/>
      </w:rPr>
    </w:lvl>
    <w:lvl w:ilvl="8" w:tplc="45264ED0" w:tentative="1">
      <w:start w:val="1"/>
      <w:numFmt w:val="bullet"/>
      <w:lvlText w:val=""/>
      <w:lvlJc w:val="left"/>
      <w:pPr>
        <w:ind w:left="6840" w:hanging="360"/>
      </w:pPr>
      <w:rPr>
        <w:rFonts w:ascii="Wingdings" w:hAnsi="Wingdings" w:hint="default"/>
      </w:rPr>
    </w:lvl>
  </w:abstractNum>
  <w:abstractNum w:abstractNumId="1" w15:restartNumberingAfterBreak="0">
    <w:nsid w:val="108F726A"/>
    <w:multiLevelType w:val="hybridMultilevel"/>
    <w:tmpl w:val="312824AE"/>
    <w:lvl w:ilvl="0" w:tplc="392A479C">
      <w:start w:val="1"/>
      <w:numFmt w:val="decimal"/>
      <w:lvlText w:val="%1."/>
      <w:lvlJc w:val="left"/>
      <w:pPr>
        <w:ind w:left="1200" w:hanging="360"/>
      </w:pPr>
    </w:lvl>
    <w:lvl w:ilvl="1" w:tplc="7DCC5FFC" w:tentative="1">
      <w:start w:val="1"/>
      <w:numFmt w:val="lowerLetter"/>
      <w:lvlText w:val="%2."/>
      <w:lvlJc w:val="left"/>
      <w:pPr>
        <w:ind w:left="1920" w:hanging="360"/>
      </w:pPr>
    </w:lvl>
    <w:lvl w:ilvl="2" w:tplc="D60C2F24" w:tentative="1">
      <w:start w:val="1"/>
      <w:numFmt w:val="lowerRoman"/>
      <w:lvlText w:val="%3."/>
      <w:lvlJc w:val="right"/>
      <w:pPr>
        <w:ind w:left="2640" w:hanging="180"/>
      </w:pPr>
    </w:lvl>
    <w:lvl w:ilvl="3" w:tplc="FF620DE2" w:tentative="1">
      <w:start w:val="1"/>
      <w:numFmt w:val="decimal"/>
      <w:lvlText w:val="%4."/>
      <w:lvlJc w:val="left"/>
      <w:pPr>
        <w:ind w:left="3360" w:hanging="360"/>
      </w:pPr>
    </w:lvl>
    <w:lvl w:ilvl="4" w:tplc="FCE2F666" w:tentative="1">
      <w:start w:val="1"/>
      <w:numFmt w:val="lowerLetter"/>
      <w:lvlText w:val="%5."/>
      <w:lvlJc w:val="left"/>
      <w:pPr>
        <w:ind w:left="4080" w:hanging="360"/>
      </w:pPr>
    </w:lvl>
    <w:lvl w:ilvl="5" w:tplc="4A6EB0BE" w:tentative="1">
      <w:start w:val="1"/>
      <w:numFmt w:val="lowerRoman"/>
      <w:lvlText w:val="%6."/>
      <w:lvlJc w:val="right"/>
      <w:pPr>
        <w:ind w:left="4800" w:hanging="180"/>
      </w:pPr>
    </w:lvl>
    <w:lvl w:ilvl="6" w:tplc="100274F0" w:tentative="1">
      <w:start w:val="1"/>
      <w:numFmt w:val="decimal"/>
      <w:lvlText w:val="%7."/>
      <w:lvlJc w:val="left"/>
      <w:pPr>
        <w:ind w:left="5520" w:hanging="360"/>
      </w:pPr>
    </w:lvl>
    <w:lvl w:ilvl="7" w:tplc="A2ECD3EE" w:tentative="1">
      <w:start w:val="1"/>
      <w:numFmt w:val="lowerLetter"/>
      <w:lvlText w:val="%8."/>
      <w:lvlJc w:val="left"/>
      <w:pPr>
        <w:ind w:left="6240" w:hanging="360"/>
      </w:pPr>
    </w:lvl>
    <w:lvl w:ilvl="8" w:tplc="E8B0340C" w:tentative="1">
      <w:start w:val="1"/>
      <w:numFmt w:val="lowerRoman"/>
      <w:lvlText w:val="%9."/>
      <w:lvlJc w:val="right"/>
      <w:pPr>
        <w:ind w:left="6960" w:hanging="180"/>
      </w:pPr>
    </w:lvl>
  </w:abstractNum>
  <w:abstractNum w:abstractNumId="2" w15:restartNumberingAfterBreak="0">
    <w:nsid w:val="11D123BB"/>
    <w:multiLevelType w:val="hybridMultilevel"/>
    <w:tmpl w:val="E8D0F832"/>
    <w:lvl w:ilvl="0" w:tplc="D7346046">
      <w:start w:val="1"/>
      <w:numFmt w:val="bullet"/>
      <w:lvlText w:val=""/>
      <w:lvlJc w:val="left"/>
      <w:pPr>
        <w:ind w:left="720" w:hanging="360"/>
      </w:pPr>
      <w:rPr>
        <w:rFonts w:ascii="Symbol" w:hAnsi="Symbol" w:hint="default"/>
      </w:rPr>
    </w:lvl>
    <w:lvl w:ilvl="1" w:tplc="DA2A05D6" w:tentative="1">
      <w:start w:val="1"/>
      <w:numFmt w:val="bullet"/>
      <w:lvlText w:val="o"/>
      <w:lvlJc w:val="left"/>
      <w:pPr>
        <w:ind w:left="1440" w:hanging="360"/>
      </w:pPr>
      <w:rPr>
        <w:rFonts w:ascii="Courier New" w:hAnsi="Courier New" w:cs="Courier New" w:hint="default"/>
      </w:rPr>
    </w:lvl>
    <w:lvl w:ilvl="2" w:tplc="54F84822" w:tentative="1">
      <w:start w:val="1"/>
      <w:numFmt w:val="bullet"/>
      <w:lvlText w:val=""/>
      <w:lvlJc w:val="left"/>
      <w:pPr>
        <w:ind w:left="2160" w:hanging="360"/>
      </w:pPr>
      <w:rPr>
        <w:rFonts w:ascii="Wingdings" w:hAnsi="Wingdings" w:hint="default"/>
      </w:rPr>
    </w:lvl>
    <w:lvl w:ilvl="3" w:tplc="A4D869EE" w:tentative="1">
      <w:start w:val="1"/>
      <w:numFmt w:val="bullet"/>
      <w:lvlText w:val=""/>
      <w:lvlJc w:val="left"/>
      <w:pPr>
        <w:ind w:left="2880" w:hanging="360"/>
      </w:pPr>
      <w:rPr>
        <w:rFonts w:ascii="Symbol" w:hAnsi="Symbol" w:hint="default"/>
      </w:rPr>
    </w:lvl>
    <w:lvl w:ilvl="4" w:tplc="56AC8FD8" w:tentative="1">
      <w:start w:val="1"/>
      <w:numFmt w:val="bullet"/>
      <w:lvlText w:val="o"/>
      <w:lvlJc w:val="left"/>
      <w:pPr>
        <w:ind w:left="3600" w:hanging="360"/>
      </w:pPr>
      <w:rPr>
        <w:rFonts w:ascii="Courier New" w:hAnsi="Courier New" w:cs="Courier New" w:hint="default"/>
      </w:rPr>
    </w:lvl>
    <w:lvl w:ilvl="5" w:tplc="D714D97A" w:tentative="1">
      <w:start w:val="1"/>
      <w:numFmt w:val="bullet"/>
      <w:lvlText w:val=""/>
      <w:lvlJc w:val="left"/>
      <w:pPr>
        <w:ind w:left="4320" w:hanging="360"/>
      </w:pPr>
      <w:rPr>
        <w:rFonts w:ascii="Wingdings" w:hAnsi="Wingdings" w:hint="default"/>
      </w:rPr>
    </w:lvl>
    <w:lvl w:ilvl="6" w:tplc="C2969594" w:tentative="1">
      <w:start w:val="1"/>
      <w:numFmt w:val="bullet"/>
      <w:lvlText w:val=""/>
      <w:lvlJc w:val="left"/>
      <w:pPr>
        <w:ind w:left="5040" w:hanging="360"/>
      </w:pPr>
      <w:rPr>
        <w:rFonts w:ascii="Symbol" w:hAnsi="Symbol" w:hint="default"/>
      </w:rPr>
    </w:lvl>
    <w:lvl w:ilvl="7" w:tplc="D30AD582" w:tentative="1">
      <w:start w:val="1"/>
      <w:numFmt w:val="bullet"/>
      <w:lvlText w:val="o"/>
      <w:lvlJc w:val="left"/>
      <w:pPr>
        <w:ind w:left="5760" w:hanging="360"/>
      </w:pPr>
      <w:rPr>
        <w:rFonts w:ascii="Courier New" w:hAnsi="Courier New" w:cs="Courier New" w:hint="default"/>
      </w:rPr>
    </w:lvl>
    <w:lvl w:ilvl="8" w:tplc="95A670B8" w:tentative="1">
      <w:start w:val="1"/>
      <w:numFmt w:val="bullet"/>
      <w:lvlText w:val=""/>
      <w:lvlJc w:val="left"/>
      <w:pPr>
        <w:ind w:left="6480" w:hanging="360"/>
      </w:pPr>
      <w:rPr>
        <w:rFonts w:ascii="Wingdings" w:hAnsi="Wingdings" w:hint="default"/>
      </w:rPr>
    </w:lvl>
  </w:abstractNum>
  <w:abstractNum w:abstractNumId="3" w15:restartNumberingAfterBreak="0">
    <w:nsid w:val="2A251776"/>
    <w:multiLevelType w:val="hybridMultilevel"/>
    <w:tmpl w:val="9D763040"/>
    <w:lvl w:ilvl="0" w:tplc="248A29DE">
      <w:start w:val="1"/>
      <w:numFmt w:val="bullet"/>
      <w:lvlText w:val=""/>
      <w:lvlJc w:val="left"/>
      <w:pPr>
        <w:ind w:left="795" w:hanging="360"/>
      </w:pPr>
      <w:rPr>
        <w:rFonts w:ascii="Symbol" w:hAnsi="Symbol" w:hint="default"/>
      </w:rPr>
    </w:lvl>
    <w:lvl w:ilvl="1" w:tplc="93000D3C" w:tentative="1">
      <w:start w:val="1"/>
      <w:numFmt w:val="bullet"/>
      <w:lvlText w:val="o"/>
      <w:lvlJc w:val="left"/>
      <w:pPr>
        <w:ind w:left="1515" w:hanging="360"/>
      </w:pPr>
      <w:rPr>
        <w:rFonts w:ascii="Courier New" w:hAnsi="Courier New" w:cs="Courier New" w:hint="default"/>
      </w:rPr>
    </w:lvl>
    <w:lvl w:ilvl="2" w:tplc="0E5AFA9E" w:tentative="1">
      <w:start w:val="1"/>
      <w:numFmt w:val="bullet"/>
      <w:lvlText w:val=""/>
      <w:lvlJc w:val="left"/>
      <w:pPr>
        <w:ind w:left="2235" w:hanging="360"/>
      </w:pPr>
      <w:rPr>
        <w:rFonts w:ascii="Wingdings" w:hAnsi="Wingdings" w:hint="default"/>
      </w:rPr>
    </w:lvl>
    <w:lvl w:ilvl="3" w:tplc="214CAB18" w:tentative="1">
      <w:start w:val="1"/>
      <w:numFmt w:val="bullet"/>
      <w:lvlText w:val=""/>
      <w:lvlJc w:val="left"/>
      <w:pPr>
        <w:ind w:left="2955" w:hanging="360"/>
      </w:pPr>
      <w:rPr>
        <w:rFonts w:ascii="Symbol" w:hAnsi="Symbol" w:hint="default"/>
      </w:rPr>
    </w:lvl>
    <w:lvl w:ilvl="4" w:tplc="4D66B8AA" w:tentative="1">
      <w:start w:val="1"/>
      <w:numFmt w:val="bullet"/>
      <w:lvlText w:val="o"/>
      <w:lvlJc w:val="left"/>
      <w:pPr>
        <w:ind w:left="3675" w:hanging="360"/>
      </w:pPr>
      <w:rPr>
        <w:rFonts w:ascii="Courier New" w:hAnsi="Courier New" w:cs="Courier New" w:hint="default"/>
      </w:rPr>
    </w:lvl>
    <w:lvl w:ilvl="5" w:tplc="F7DA2666" w:tentative="1">
      <w:start w:val="1"/>
      <w:numFmt w:val="bullet"/>
      <w:lvlText w:val=""/>
      <w:lvlJc w:val="left"/>
      <w:pPr>
        <w:ind w:left="4395" w:hanging="360"/>
      </w:pPr>
      <w:rPr>
        <w:rFonts w:ascii="Wingdings" w:hAnsi="Wingdings" w:hint="default"/>
      </w:rPr>
    </w:lvl>
    <w:lvl w:ilvl="6" w:tplc="5F70BDD4" w:tentative="1">
      <w:start w:val="1"/>
      <w:numFmt w:val="bullet"/>
      <w:lvlText w:val=""/>
      <w:lvlJc w:val="left"/>
      <w:pPr>
        <w:ind w:left="5115" w:hanging="360"/>
      </w:pPr>
      <w:rPr>
        <w:rFonts w:ascii="Symbol" w:hAnsi="Symbol" w:hint="default"/>
      </w:rPr>
    </w:lvl>
    <w:lvl w:ilvl="7" w:tplc="EBB2CFF6" w:tentative="1">
      <w:start w:val="1"/>
      <w:numFmt w:val="bullet"/>
      <w:lvlText w:val="o"/>
      <w:lvlJc w:val="left"/>
      <w:pPr>
        <w:ind w:left="5835" w:hanging="360"/>
      </w:pPr>
      <w:rPr>
        <w:rFonts w:ascii="Courier New" w:hAnsi="Courier New" w:cs="Courier New" w:hint="default"/>
      </w:rPr>
    </w:lvl>
    <w:lvl w:ilvl="8" w:tplc="9A785DCE" w:tentative="1">
      <w:start w:val="1"/>
      <w:numFmt w:val="bullet"/>
      <w:lvlText w:val=""/>
      <w:lvlJc w:val="left"/>
      <w:pPr>
        <w:ind w:left="6555" w:hanging="360"/>
      </w:pPr>
      <w:rPr>
        <w:rFonts w:ascii="Wingdings" w:hAnsi="Wingdings" w:hint="default"/>
      </w:rPr>
    </w:lvl>
  </w:abstractNum>
  <w:abstractNum w:abstractNumId="4" w15:restartNumberingAfterBreak="0">
    <w:nsid w:val="36D4289E"/>
    <w:multiLevelType w:val="hybridMultilevel"/>
    <w:tmpl w:val="F5F45266"/>
    <w:lvl w:ilvl="0" w:tplc="3E5CD41A">
      <w:start w:val="1"/>
      <w:numFmt w:val="decimal"/>
      <w:lvlText w:val="%1."/>
      <w:lvlJc w:val="left"/>
      <w:pPr>
        <w:ind w:left="1146" w:hanging="360"/>
      </w:pPr>
    </w:lvl>
    <w:lvl w:ilvl="1" w:tplc="7196EA32" w:tentative="1">
      <w:start w:val="1"/>
      <w:numFmt w:val="lowerLetter"/>
      <w:lvlText w:val="%2."/>
      <w:lvlJc w:val="left"/>
      <w:pPr>
        <w:ind w:left="1866" w:hanging="360"/>
      </w:pPr>
    </w:lvl>
    <w:lvl w:ilvl="2" w:tplc="FDCE9152" w:tentative="1">
      <w:start w:val="1"/>
      <w:numFmt w:val="lowerRoman"/>
      <w:lvlText w:val="%3."/>
      <w:lvlJc w:val="right"/>
      <w:pPr>
        <w:ind w:left="2586" w:hanging="180"/>
      </w:pPr>
    </w:lvl>
    <w:lvl w:ilvl="3" w:tplc="81EE0E00" w:tentative="1">
      <w:start w:val="1"/>
      <w:numFmt w:val="decimal"/>
      <w:lvlText w:val="%4."/>
      <w:lvlJc w:val="left"/>
      <w:pPr>
        <w:ind w:left="3306" w:hanging="360"/>
      </w:pPr>
    </w:lvl>
    <w:lvl w:ilvl="4" w:tplc="53568B50" w:tentative="1">
      <w:start w:val="1"/>
      <w:numFmt w:val="lowerLetter"/>
      <w:lvlText w:val="%5."/>
      <w:lvlJc w:val="left"/>
      <w:pPr>
        <w:ind w:left="4026" w:hanging="360"/>
      </w:pPr>
    </w:lvl>
    <w:lvl w:ilvl="5" w:tplc="0AC0A50E" w:tentative="1">
      <w:start w:val="1"/>
      <w:numFmt w:val="lowerRoman"/>
      <w:lvlText w:val="%6."/>
      <w:lvlJc w:val="right"/>
      <w:pPr>
        <w:ind w:left="4746" w:hanging="180"/>
      </w:pPr>
    </w:lvl>
    <w:lvl w:ilvl="6" w:tplc="BDFC05A2" w:tentative="1">
      <w:start w:val="1"/>
      <w:numFmt w:val="decimal"/>
      <w:lvlText w:val="%7."/>
      <w:lvlJc w:val="left"/>
      <w:pPr>
        <w:ind w:left="5466" w:hanging="360"/>
      </w:pPr>
    </w:lvl>
    <w:lvl w:ilvl="7" w:tplc="6D5E3F0A" w:tentative="1">
      <w:start w:val="1"/>
      <w:numFmt w:val="lowerLetter"/>
      <w:lvlText w:val="%8."/>
      <w:lvlJc w:val="left"/>
      <w:pPr>
        <w:ind w:left="6186" w:hanging="360"/>
      </w:pPr>
    </w:lvl>
    <w:lvl w:ilvl="8" w:tplc="EE54A56C" w:tentative="1">
      <w:start w:val="1"/>
      <w:numFmt w:val="lowerRoman"/>
      <w:lvlText w:val="%9."/>
      <w:lvlJc w:val="right"/>
      <w:pPr>
        <w:ind w:left="6906" w:hanging="180"/>
      </w:pPr>
    </w:lvl>
  </w:abstractNum>
  <w:abstractNum w:abstractNumId="5" w15:restartNumberingAfterBreak="0">
    <w:nsid w:val="56013D28"/>
    <w:multiLevelType w:val="hybridMultilevel"/>
    <w:tmpl w:val="A788AF26"/>
    <w:lvl w:ilvl="0" w:tplc="4372D13C">
      <w:start w:val="1"/>
      <w:numFmt w:val="decimal"/>
      <w:lvlText w:val="%1."/>
      <w:lvlJc w:val="left"/>
      <w:pPr>
        <w:ind w:left="720" w:hanging="360"/>
      </w:pPr>
      <w:rPr>
        <w:rFonts w:hint="default"/>
      </w:rPr>
    </w:lvl>
    <w:lvl w:ilvl="1" w:tplc="757A4CC4" w:tentative="1">
      <w:start w:val="1"/>
      <w:numFmt w:val="lowerLetter"/>
      <w:lvlText w:val="%2."/>
      <w:lvlJc w:val="left"/>
      <w:pPr>
        <w:ind w:left="1440" w:hanging="360"/>
      </w:pPr>
    </w:lvl>
    <w:lvl w:ilvl="2" w:tplc="61125A2A" w:tentative="1">
      <w:start w:val="1"/>
      <w:numFmt w:val="lowerRoman"/>
      <w:lvlText w:val="%3."/>
      <w:lvlJc w:val="right"/>
      <w:pPr>
        <w:ind w:left="2160" w:hanging="180"/>
      </w:pPr>
    </w:lvl>
    <w:lvl w:ilvl="3" w:tplc="7256AFCE" w:tentative="1">
      <w:start w:val="1"/>
      <w:numFmt w:val="decimal"/>
      <w:lvlText w:val="%4."/>
      <w:lvlJc w:val="left"/>
      <w:pPr>
        <w:ind w:left="2880" w:hanging="360"/>
      </w:pPr>
    </w:lvl>
    <w:lvl w:ilvl="4" w:tplc="07049A94" w:tentative="1">
      <w:start w:val="1"/>
      <w:numFmt w:val="lowerLetter"/>
      <w:lvlText w:val="%5."/>
      <w:lvlJc w:val="left"/>
      <w:pPr>
        <w:ind w:left="3600" w:hanging="360"/>
      </w:pPr>
    </w:lvl>
    <w:lvl w:ilvl="5" w:tplc="C3EA861A" w:tentative="1">
      <w:start w:val="1"/>
      <w:numFmt w:val="lowerRoman"/>
      <w:lvlText w:val="%6."/>
      <w:lvlJc w:val="right"/>
      <w:pPr>
        <w:ind w:left="4320" w:hanging="180"/>
      </w:pPr>
    </w:lvl>
    <w:lvl w:ilvl="6" w:tplc="2BA0DD40" w:tentative="1">
      <w:start w:val="1"/>
      <w:numFmt w:val="decimal"/>
      <w:lvlText w:val="%7."/>
      <w:lvlJc w:val="left"/>
      <w:pPr>
        <w:ind w:left="5040" w:hanging="360"/>
      </w:pPr>
    </w:lvl>
    <w:lvl w:ilvl="7" w:tplc="78548AC2" w:tentative="1">
      <w:start w:val="1"/>
      <w:numFmt w:val="lowerLetter"/>
      <w:lvlText w:val="%8."/>
      <w:lvlJc w:val="left"/>
      <w:pPr>
        <w:ind w:left="5760" w:hanging="360"/>
      </w:pPr>
    </w:lvl>
    <w:lvl w:ilvl="8" w:tplc="B15A3664" w:tentative="1">
      <w:start w:val="1"/>
      <w:numFmt w:val="lowerRoman"/>
      <w:lvlText w:val="%9."/>
      <w:lvlJc w:val="right"/>
      <w:pPr>
        <w:ind w:left="6480" w:hanging="180"/>
      </w:pPr>
    </w:lvl>
  </w:abstractNum>
  <w:abstractNum w:abstractNumId="6" w15:restartNumberingAfterBreak="0">
    <w:nsid w:val="624D7E01"/>
    <w:multiLevelType w:val="hybridMultilevel"/>
    <w:tmpl w:val="70F28324"/>
    <w:lvl w:ilvl="0" w:tplc="D504AEBE">
      <w:start w:val="1"/>
      <w:numFmt w:val="bullet"/>
      <w:lvlText w:val=""/>
      <w:lvlJc w:val="left"/>
      <w:pPr>
        <w:ind w:left="1146" w:hanging="360"/>
      </w:pPr>
      <w:rPr>
        <w:rFonts w:ascii="Symbol" w:hAnsi="Symbol" w:hint="default"/>
      </w:rPr>
    </w:lvl>
    <w:lvl w:ilvl="1" w:tplc="61707864" w:tentative="1">
      <w:start w:val="1"/>
      <w:numFmt w:val="bullet"/>
      <w:lvlText w:val="o"/>
      <w:lvlJc w:val="left"/>
      <w:pPr>
        <w:ind w:left="1866" w:hanging="360"/>
      </w:pPr>
      <w:rPr>
        <w:rFonts w:ascii="Courier New" w:hAnsi="Courier New" w:cs="Courier New" w:hint="default"/>
      </w:rPr>
    </w:lvl>
    <w:lvl w:ilvl="2" w:tplc="1DD492C6" w:tentative="1">
      <w:start w:val="1"/>
      <w:numFmt w:val="bullet"/>
      <w:lvlText w:val=""/>
      <w:lvlJc w:val="left"/>
      <w:pPr>
        <w:ind w:left="2586" w:hanging="360"/>
      </w:pPr>
      <w:rPr>
        <w:rFonts w:ascii="Wingdings" w:hAnsi="Wingdings" w:hint="default"/>
      </w:rPr>
    </w:lvl>
    <w:lvl w:ilvl="3" w:tplc="31B2EF50" w:tentative="1">
      <w:start w:val="1"/>
      <w:numFmt w:val="bullet"/>
      <w:lvlText w:val=""/>
      <w:lvlJc w:val="left"/>
      <w:pPr>
        <w:ind w:left="3306" w:hanging="360"/>
      </w:pPr>
      <w:rPr>
        <w:rFonts w:ascii="Symbol" w:hAnsi="Symbol" w:hint="default"/>
      </w:rPr>
    </w:lvl>
    <w:lvl w:ilvl="4" w:tplc="94B42628" w:tentative="1">
      <w:start w:val="1"/>
      <w:numFmt w:val="bullet"/>
      <w:lvlText w:val="o"/>
      <w:lvlJc w:val="left"/>
      <w:pPr>
        <w:ind w:left="4026" w:hanging="360"/>
      </w:pPr>
      <w:rPr>
        <w:rFonts w:ascii="Courier New" w:hAnsi="Courier New" w:cs="Courier New" w:hint="default"/>
      </w:rPr>
    </w:lvl>
    <w:lvl w:ilvl="5" w:tplc="411675A6" w:tentative="1">
      <w:start w:val="1"/>
      <w:numFmt w:val="bullet"/>
      <w:lvlText w:val=""/>
      <w:lvlJc w:val="left"/>
      <w:pPr>
        <w:ind w:left="4746" w:hanging="360"/>
      </w:pPr>
      <w:rPr>
        <w:rFonts w:ascii="Wingdings" w:hAnsi="Wingdings" w:hint="default"/>
      </w:rPr>
    </w:lvl>
    <w:lvl w:ilvl="6" w:tplc="CBE46370" w:tentative="1">
      <w:start w:val="1"/>
      <w:numFmt w:val="bullet"/>
      <w:lvlText w:val=""/>
      <w:lvlJc w:val="left"/>
      <w:pPr>
        <w:ind w:left="5466" w:hanging="360"/>
      </w:pPr>
      <w:rPr>
        <w:rFonts w:ascii="Symbol" w:hAnsi="Symbol" w:hint="default"/>
      </w:rPr>
    </w:lvl>
    <w:lvl w:ilvl="7" w:tplc="545A696E" w:tentative="1">
      <w:start w:val="1"/>
      <w:numFmt w:val="bullet"/>
      <w:lvlText w:val="o"/>
      <w:lvlJc w:val="left"/>
      <w:pPr>
        <w:ind w:left="6186" w:hanging="360"/>
      </w:pPr>
      <w:rPr>
        <w:rFonts w:ascii="Courier New" w:hAnsi="Courier New" w:cs="Courier New" w:hint="default"/>
      </w:rPr>
    </w:lvl>
    <w:lvl w:ilvl="8" w:tplc="2F66C7DA" w:tentative="1">
      <w:start w:val="1"/>
      <w:numFmt w:val="bullet"/>
      <w:lvlText w:val=""/>
      <w:lvlJc w:val="left"/>
      <w:pPr>
        <w:ind w:left="6906" w:hanging="360"/>
      </w:pPr>
      <w:rPr>
        <w:rFonts w:ascii="Wingdings" w:hAnsi="Wingdings" w:hint="default"/>
      </w:rPr>
    </w:lvl>
  </w:abstractNum>
  <w:abstractNum w:abstractNumId="7" w15:restartNumberingAfterBreak="0">
    <w:nsid w:val="694F3F9D"/>
    <w:multiLevelType w:val="hybridMultilevel"/>
    <w:tmpl w:val="652E353C"/>
    <w:lvl w:ilvl="0" w:tplc="5E4611B8">
      <w:start w:val="1"/>
      <w:numFmt w:val="lowerLetter"/>
      <w:lvlText w:val="%1."/>
      <w:lvlJc w:val="left"/>
      <w:pPr>
        <w:ind w:left="720" w:hanging="360"/>
      </w:pPr>
      <w:rPr>
        <w:rFonts w:hint="default"/>
      </w:rPr>
    </w:lvl>
    <w:lvl w:ilvl="1" w:tplc="0BECE052" w:tentative="1">
      <w:start w:val="1"/>
      <w:numFmt w:val="lowerLetter"/>
      <w:lvlText w:val="%2."/>
      <w:lvlJc w:val="left"/>
      <w:pPr>
        <w:ind w:left="1440" w:hanging="360"/>
      </w:pPr>
    </w:lvl>
    <w:lvl w:ilvl="2" w:tplc="547EC776" w:tentative="1">
      <w:start w:val="1"/>
      <w:numFmt w:val="lowerRoman"/>
      <w:lvlText w:val="%3."/>
      <w:lvlJc w:val="right"/>
      <w:pPr>
        <w:ind w:left="2160" w:hanging="180"/>
      </w:pPr>
    </w:lvl>
    <w:lvl w:ilvl="3" w:tplc="B858C1CC" w:tentative="1">
      <w:start w:val="1"/>
      <w:numFmt w:val="decimal"/>
      <w:lvlText w:val="%4."/>
      <w:lvlJc w:val="left"/>
      <w:pPr>
        <w:ind w:left="2880" w:hanging="360"/>
      </w:pPr>
    </w:lvl>
    <w:lvl w:ilvl="4" w:tplc="229C152E" w:tentative="1">
      <w:start w:val="1"/>
      <w:numFmt w:val="lowerLetter"/>
      <w:lvlText w:val="%5."/>
      <w:lvlJc w:val="left"/>
      <w:pPr>
        <w:ind w:left="3600" w:hanging="360"/>
      </w:pPr>
    </w:lvl>
    <w:lvl w:ilvl="5" w:tplc="0E066240" w:tentative="1">
      <w:start w:val="1"/>
      <w:numFmt w:val="lowerRoman"/>
      <w:lvlText w:val="%6."/>
      <w:lvlJc w:val="right"/>
      <w:pPr>
        <w:ind w:left="4320" w:hanging="180"/>
      </w:pPr>
    </w:lvl>
    <w:lvl w:ilvl="6" w:tplc="8E7A5746" w:tentative="1">
      <w:start w:val="1"/>
      <w:numFmt w:val="decimal"/>
      <w:lvlText w:val="%7."/>
      <w:lvlJc w:val="left"/>
      <w:pPr>
        <w:ind w:left="5040" w:hanging="360"/>
      </w:pPr>
    </w:lvl>
    <w:lvl w:ilvl="7" w:tplc="843086CC" w:tentative="1">
      <w:start w:val="1"/>
      <w:numFmt w:val="lowerLetter"/>
      <w:lvlText w:val="%8."/>
      <w:lvlJc w:val="left"/>
      <w:pPr>
        <w:ind w:left="5760" w:hanging="360"/>
      </w:pPr>
    </w:lvl>
    <w:lvl w:ilvl="8" w:tplc="A6742E78" w:tentative="1">
      <w:start w:val="1"/>
      <w:numFmt w:val="lowerRoman"/>
      <w:lvlText w:val="%9."/>
      <w:lvlJc w:val="right"/>
      <w:pPr>
        <w:ind w:left="6480" w:hanging="180"/>
      </w:pPr>
    </w:lvl>
  </w:abstractNum>
  <w:abstractNum w:abstractNumId="8" w15:restartNumberingAfterBreak="0">
    <w:nsid w:val="6B1E3B4A"/>
    <w:multiLevelType w:val="hybridMultilevel"/>
    <w:tmpl w:val="6C92AF24"/>
    <w:lvl w:ilvl="0" w:tplc="236EBFC4">
      <w:start w:val="1"/>
      <w:numFmt w:val="bullet"/>
      <w:lvlText w:val=""/>
      <w:lvlJc w:val="left"/>
      <w:pPr>
        <w:ind w:left="720" w:hanging="360"/>
      </w:pPr>
      <w:rPr>
        <w:rFonts w:ascii="Symbol" w:hAnsi="Symbol" w:hint="default"/>
      </w:rPr>
    </w:lvl>
    <w:lvl w:ilvl="1" w:tplc="7870DAA2" w:tentative="1">
      <w:start w:val="1"/>
      <w:numFmt w:val="bullet"/>
      <w:lvlText w:val="o"/>
      <w:lvlJc w:val="left"/>
      <w:pPr>
        <w:ind w:left="1440" w:hanging="360"/>
      </w:pPr>
      <w:rPr>
        <w:rFonts w:ascii="Courier New" w:hAnsi="Courier New" w:cs="Courier New" w:hint="default"/>
      </w:rPr>
    </w:lvl>
    <w:lvl w:ilvl="2" w:tplc="F4F290B2" w:tentative="1">
      <w:start w:val="1"/>
      <w:numFmt w:val="bullet"/>
      <w:lvlText w:val=""/>
      <w:lvlJc w:val="left"/>
      <w:pPr>
        <w:ind w:left="2160" w:hanging="360"/>
      </w:pPr>
      <w:rPr>
        <w:rFonts w:ascii="Wingdings" w:hAnsi="Wingdings" w:hint="default"/>
      </w:rPr>
    </w:lvl>
    <w:lvl w:ilvl="3" w:tplc="A3462000" w:tentative="1">
      <w:start w:val="1"/>
      <w:numFmt w:val="bullet"/>
      <w:lvlText w:val=""/>
      <w:lvlJc w:val="left"/>
      <w:pPr>
        <w:ind w:left="2880" w:hanging="360"/>
      </w:pPr>
      <w:rPr>
        <w:rFonts w:ascii="Symbol" w:hAnsi="Symbol" w:hint="default"/>
      </w:rPr>
    </w:lvl>
    <w:lvl w:ilvl="4" w:tplc="F10E6F70" w:tentative="1">
      <w:start w:val="1"/>
      <w:numFmt w:val="bullet"/>
      <w:lvlText w:val="o"/>
      <w:lvlJc w:val="left"/>
      <w:pPr>
        <w:ind w:left="3600" w:hanging="360"/>
      </w:pPr>
      <w:rPr>
        <w:rFonts w:ascii="Courier New" w:hAnsi="Courier New" w:cs="Courier New" w:hint="default"/>
      </w:rPr>
    </w:lvl>
    <w:lvl w:ilvl="5" w:tplc="BA9EC794" w:tentative="1">
      <w:start w:val="1"/>
      <w:numFmt w:val="bullet"/>
      <w:lvlText w:val=""/>
      <w:lvlJc w:val="left"/>
      <w:pPr>
        <w:ind w:left="4320" w:hanging="360"/>
      </w:pPr>
      <w:rPr>
        <w:rFonts w:ascii="Wingdings" w:hAnsi="Wingdings" w:hint="default"/>
      </w:rPr>
    </w:lvl>
    <w:lvl w:ilvl="6" w:tplc="F0F0A5C2" w:tentative="1">
      <w:start w:val="1"/>
      <w:numFmt w:val="bullet"/>
      <w:lvlText w:val=""/>
      <w:lvlJc w:val="left"/>
      <w:pPr>
        <w:ind w:left="5040" w:hanging="360"/>
      </w:pPr>
      <w:rPr>
        <w:rFonts w:ascii="Symbol" w:hAnsi="Symbol" w:hint="default"/>
      </w:rPr>
    </w:lvl>
    <w:lvl w:ilvl="7" w:tplc="ABE4F96C" w:tentative="1">
      <w:start w:val="1"/>
      <w:numFmt w:val="bullet"/>
      <w:lvlText w:val="o"/>
      <w:lvlJc w:val="left"/>
      <w:pPr>
        <w:ind w:left="5760" w:hanging="360"/>
      </w:pPr>
      <w:rPr>
        <w:rFonts w:ascii="Courier New" w:hAnsi="Courier New" w:cs="Courier New" w:hint="default"/>
      </w:rPr>
    </w:lvl>
    <w:lvl w:ilvl="8" w:tplc="2FFADB64" w:tentative="1">
      <w:start w:val="1"/>
      <w:numFmt w:val="bullet"/>
      <w:lvlText w:val=""/>
      <w:lvlJc w:val="left"/>
      <w:pPr>
        <w:ind w:left="6480" w:hanging="360"/>
      </w:pPr>
      <w:rPr>
        <w:rFonts w:ascii="Wingdings" w:hAnsi="Wingdings" w:hint="default"/>
      </w:rPr>
    </w:lvl>
  </w:abstractNum>
  <w:abstractNum w:abstractNumId="9" w15:restartNumberingAfterBreak="0">
    <w:nsid w:val="6F5E4AD0"/>
    <w:multiLevelType w:val="hybridMultilevel"/>
    <w:tmpl w:val="B42A5DD0"/>
    <w:lvl w:ilvl="0" w:tplc="994EBD22">
      <w:start w:val="1"/>
      <w:numFmt w:val="bullet"/>
      <w:lvlText w:val=""/>
      <w:lvlJc w:val="left"/>
      <w:pPr>
        <w:ind w:left="720" w:hanging="360"/>
      </w:pPr>
      <w:rPr>
        <w:rFonts w:ascii="Symbol" w:hAnsi="Symbol" w:hint="default"/>
      </w:rPr>
    </w:lvl>
    <w:lvl w:ilvl="1" w:tplc="6D1646FA" w:tentative="1">
      <w:start w:val="1"/>
      <w:numFmt w:val="bullet"/>
      <w:lvlText w:val="o"/>
      <w:lvlJc w:val="left"/>
      <w:pPr>
        <w:ind w:left="1440" w:hanging="360"/>
      </w:pPr>
      <w:rPr>
        <w:rFonts w:ascii="Courier New" w:hAnsi="Courier New" w:cs="Courier New" w:hint="default"/>
      </w:rPr>
    </w:lvl>
    <w:lvl w:ilvl="2" w:tplc="3C9CBE02" w:tentative="1">
      <w:start w:val="1"/>
      <w:numFmt w:val="bullet"/>
      <w:lvlText w:val=""/>
      <w:lvlJc w:val="left"/>
      <w:pPr>
        <w:ind w:left="2160" w:hanging="360"/>
      </w:pPr>
      <w:rPr>
        <w:rFonts w:ascii="Wingdings" w:hAnsi="Wingdings" w:hint="default"/>
      </w:rPr>
    </w:lvl>
    <w:lvl w:ilvl="3" w:tplc="D136C5A8" w:tentative="1">
      <w:start w:val="1"/>
      <w:numFmt w:val="bullet"/>
      <w:lvlText w:val=""/>
      <w:lvlJc w:val="left"/>
      <w:pPr>
        <w:ind w:left="2880" w:hanging="360"/>
      </w:pPr>
      <w:rPr>
        <w:rFonts w:ascii="Symbol" w:hAnsi="Symbol" w:hint="default"/>
      </w:rPr>
    </w:lvl>
    <w:lvl w:ilvl="4" w:tplc="7B96BCCC" w:tentative="1">
      <w:start w:val="1"/>
      <w:numFmt w:val="bullet"/>
      <w:lvlText w:val="o"/>
      <w:lvlJc w:val="left"/>
      <w:pPr>
        <w:ind w:left="3600" w:hanging="360"/>
      </w:pPr>
      <w:rPr>
        <w:rFonts w:ascii="Courier New" w:hAnsi="Courier New" w:cs="Courier New" w:hint="default"/>
      </w:rPr>
    </w:lvl>
    <w:lvl w:ilvl="5" w:tplc="8DC09518" w:tentative="1">
      <w:start w:val="1"/>
      <w:numFmt w:val="bullet"/>
      <w:lvlText w:val=""/>
      <w:lvlJc w:val="left"/>
      <w:pPr>
        <w:ind w:left="4320" w:hanging="360"/>
      </w:pPr>
      <w:rPr>
        <w:rFonts w:ascii="Wingdings" w:hAnsi="Wingdings" w:hint="default"/>
      </w:rPr>
    </w:lvl>
    <w:lvl w:ilvl="6" w:tplc="50C2B07A" w:tentative="1">
      <w:start w:val="1"/>
      <w:numFmt w:val="bullet"/>
      <w:lvlText w:val=""/>
      <w:lvlJc w:val="left"/>
      <w:pPr>
        <w:ind w:left="5040" w:hanging="360"/>
      </w:pPr>
      <w:rPr>
        <w:rFonts w:ascii="Symbol" w:hAnsi="Symbol" w:hint="default"/>
      </w:rPr>
    </w:lvl>
    <w:lvl w:ilvl="7" w:tplc="D6CCD9F2" w:tentative="1">
      <w:start w:val="1"/>
      <w:numFmt w:val="bullet"/>
      <w:lvlText w:val="o"/>
      <w:lvlJc w:val="left"/>
      <w:pPr>
        <w:ind w:left="5760" w:hanging="360"/>
      </w:pPr>
      <w:rPr>
        <w:rFonts w:ascii="Courier New" w:hAnsi="Courier New" w:cs="Courier New" w:hint="default"/>
      </w:rPr>
    </w:lvl>
    <w:lvl w:ilvl="8" w:tplc="A014BAC2" w:tentative="1">
      <w:start w:val="1"/>
      <w:numFmt w:val="bullet"/>
      <w:lvlText w:val=""/>
      <w:lvlJc w:val="left"/>
      <w:pPr>
        <w:ind w:left="6480" w:hanging="360"/>
      </w:pPr>
      <w:rPr>
        <w:rFonts w:ascii="Wingdings" w:hAnsi="Wingdings" w:hint="default"/>
      </w:rPr>
    </w:lvl>
  </w:abstractNum>
  <w:abstractNum w:abstractNumId="10" w15:restartNumberingAfterBreak="0">
    <w:nsid w:val="798713A6"/>
    <w:multiLevelType w:val="hybridMultilevel"/>
    <w:tmpl w:val="31724CFE"/>
    <w:lvl w:ilvl="0" w:tplc="1ED2D692">
      <w:start w:val="1"/>
      <w:numFmt w:val="bullet"/>
      <w:lvlText w:val=""/>
      <w:lvlJc w:val="left"/>
      <w:pPr>
        <w:ind w:left="780" w:hanging="360"/>
      </w:pPr>
      <w:rPr>
        <w:rFonts w:ascii="Symbol" w:hAnsi="Symbol" w:hint="default"/>
      </w:rPr>
    </w:lvl>
    <w:lvl w:ilvl="1" w:tplc="258E338A" w:tentative="1">
      <w:start w:val="1"/>
      <w:numFmt w:val="bullet"/>
      <w:lvlText w:val="o"/>
      <w:lvlJc w:val="left"/>
      <w:pPr>
        <w:ind w:left="1500" w:hanging="360"/>
      </w:pPr>
      <w:rPr>
        <w:rFonts w:ascii="Courier New" w:hAnsi="Courier New" w:cs="Courier New" w:hint="default"/>
      </w:rPr>
    </w:lvl>
    <w:lvl w:ilvl="2" w:tplc="B97672AC" w:tentative="1">
      <w:start w:val="1"/>
      <w:numFmt w:val="bullet"/>
      <w:lvlText w:val=""/>
      <w:lvlJc w:val="left"/>
      <w:pPr>
        <w:ind w:left="2220" w:hanging="360"/>
      </w:pPr>
      <w:rPr>
        <w:rFonts w:ascii="Wingdings" w:hAnsi="Wingdings" w:hint="default"/>
      </w:rPr>
    </w:lvl>
    <w:lvl w:ilvl="3" w:tplc="CE3ECFD8" w:tentative="1">
      <w:start w:val="1"/>
      <w:numFmt w:val="bullet"/>
      <w:lvlText w:val=""/>
      <w:lvlJc w:val="left"/>
      <w:pPr>
        <w:ind w:left="2940" w:hanging="360"/>
      </w:pPr>
      <w:rPr>
        <w:rFonts w:ascii="Symbol" w:hAnsi="Symbol" w:hint="default"/>
      </w:rPr>
    </w:lvl>
    <w:lvl w:ilvl="4" w:tplc="27DA519E" w:tentative="1">
      <w:start w:val="1"/>
      <w:numFmt w:val="bullet"/>
      <w:lvlText w:val="o"/>
      <w:lvlJc w:val="left"/>
      <w:pPr>
        <w:ind w:left="3660" w:hanging="360"/>
      </w:pPr>
      <w:rPr>
        <w:rFonts w:ascii="Courier New" w:hAnsi="Courier New" w:cs="Courier New" w:hint="default"/>
      </w:rPr>
    </w:lvl>
    <w:lvl w:ilvl="5" w:tplc="77CAEDE8" w:tentative="1">
      <w:start w:val="1"/>
      <w:numFmt w:val="bullet"/>
      <w:lvlText w:val=""/>
      <w:lvlJc w:val="left"/>
      <w:pPr>
        <w:ind w:left="4380" w:hanging="360"/>
      </w:pPr>
      <w:rPr>
        <w:rFonts w:ascii="Wingdings" w:hAnsi="Wingdings" w:hint="default"/>
      </w:rPr>
    </w:lvl>
    <w:lvl w:ilvl="6" w:tplc="969C5DA8" w:tentative="1">
      <w:start w:val="1"/>
      <w:numFmt w:val="bullet"/>
      <w:lvlText w:val=""/>
      <w:lvlJc w:val="left"/>
      <w:pPr>
        <w:ind w:left="5100" w:hanging="360"/>
      </w:pPr>
      <w:rPr>
        <w:rFonts w:ascii="Symbol" w:hAnsi="Symbol" w:hint="default"/>
      </w:rPr>
    </w:lvl>
    <w:lvl w:ilvl="7" w:tplc="56C07A94" w:tentative="1">
      <w:start w:val="1"/>
      <w:numFmt w:val="bullet"/>
      <w:lvlText w:val="o"/>
      <w:lvlJc w:val="left"/>
      <w:pPr>
        <w:ind w:left="5820" w:hanging="360"/>
      </w:pPr>
      <w:rPr>
        <w:rFonts w:ascii="Courier New" w:hAnsi="Courier New" w:cs="Courier New" w:hint="default"/>
      </w:rPr>
    </w:lvl>
    <w:lvl w:ilvl="8" w:tplc="2732278C" w:tentative="1">
      <w:start w:val="1"/>
      <w:numFmt w:val="bullet"/>
      <w:lvlText w:val=""/>
      <w:lvlJc w:val="left"/>
      <w:pPr>
        <w:ind w:left="6540" w:hanging="360"/>
      </w:pPr>
      <w:rPr>
        <w:rFonts w:ascii="Wingdings" w:hAnsi="Wingdings" w:hint="default"/>
      </w:rPr>
    </w:lvl>
  </w:abstractNum>
  <w:abstractNum w:abstractNumId="11" w15:restartNumberingAfterBreak="0">
    <w:nsid w:val="7E8C07CD"/>
    <w:multiLevelType w:val="hybridMultilevel"/>
    <w:tmpl w:val="BC6AE09C"/>
    <w:lvl w:ilvl="0" w:tplc="71A06EE0">
      <w:start w:val="1"/>
      <w:numFmt w:val="bullet"/>
      <w:lvlText w:val=""/>
      <w:lvlJc w:val="left"/>
      <w:pPr>
        <w:ind w:left="720" w:hanging="360"/>
      </w:pPr>
      <w:rPr>
        <w:rFonts w:ascii="Symbol" w:hAnsi="Symbol" w:hint="default"/>
      </w:rPr>
    </w:lvl>
    <w:lvl w:ilvl="1" w:tplc="E9C8538E" w:tentative="1">
      <w:start w:val="1"/>
      <w:numFmt w:val="bullet"/>
      <w:lvlText w:val="o"/>
      <w:lvlJc w:val="left"/>
      <w:pPr>
        <w:ind w:left="1440" w:hanging="360"/>
      </w:pPr>
      <w:rPr>
        <w:rFonts w:ascii="Courier New" w:hAnsi="Courier New" w:cs="Courier New" w:hint="default"/>
      </w:rPr>
    </w:lvl>
    <w:lvl w:ilvl="2" w:tplc="F0E655E4" w:tentative="1">
      <w:start w:val="1"/>
      <w:numFmt w:val="bullet"/>
      <w:lvlText w:val=""/>
      <w:lvlJc w:val="left"/>
      <w:pPr>
        <w:ind w:left="2160" w:hanging="360"/>
      </w:pPr>
      <w:rPr>
        <w:rFonts w:ascii="Wingdings" w:hAnsi="Wingdings" w:hint="default"/>
      </w:rPr>
    </w:lvl>
    <w:lvl w:ilvl="3" w:tplc="8120182E" w:tentative="1">
      <w:start w:val="1"/>
      <w:numFmt w:val="bullet"/>
      <w:lvlText w:val=""/>
      <w:lvlJc w:val="left"/>
      <w:pPr>
        <w:ind w:left="2880" w:hanging="360"/>
      </w:pPr>
      <w:rPr>
        <w:rFonts w:ascii="Symbol" w:hAnsi="Symbol" w:hint="default"/>
      </w:rPr>
    </w:lvl>
    <w:lvl w:ilvl="4" w:tplc="E58CC946" w:tentative="1">
      <w:start w:val="1"/>
      <w:numFmt w:val="bullet"/>
      <w:lvlText w:val="o"/>
      <w:lvlJc w:val="left"/>
      <w:pPr>
        <w:ind w:left="3600" w:hanging="360"/>
      </w:pPr>
      <w:rPr>
        <w:rFonts w:ascii="Courier New" w:hAnsi="Courier New" w:cs="Courier New" w:hint="default"/>
      </w:rPr>
    </w:lvl>
    <w:lvl w:ilvl="5" w:tplc="336C456C" w:tentative="1">
      <w:start w:val="1"/>
      <w:numFmt w:val="bullet"/>
      <w:lvlText w:val=""/>
      <w:lvlJc w:val="left"/>
      <w:pPr>
        <w:ind w:left="4320" w:hanging="360"/>
      </w:pPr>
      <w:rPr>
        <w:rFonts w:ascii="Wingdings" w:hAnsi="Wingdings" w:hint="default"/>
      </w:rPr>
    </w:lvl>
    <w:lvl w:ilvl="6" w:tplc="AC38899A" w:tentative="1">
      <w:start w:val="1"/>
      <w:numFmt w:val="bullet"/>
      <w:lvlText w:val=""/>
      <w:lvlJc w:val="left"/>
      <w:pPr>
        <w:ind w:left="5040" w:hanging="360"/>
      </w:pPr>
      <w:rPr>
        <w:rFonts w:ascii="Symbol" w:hAnsi="Symbol" w:hint="default"/>
      </w:rPr>
    </w:lvl>
    <w:lvl w:ilvl="7" w:tplc="3BBE5C5E" w:tentative="1">
      <w:start w:val="1"/>
      <w:numFmt w:val="bullet"/>
      <w:lvlText w:val="o"/>
      <w:lvlJc w:val="left"/>
      <w:pPr>
        <w:ind w:left="5760" w:hanging="360"/>
      </w:pPr>
      <w:rPr>
        <w:rFonts w:ascii="Courier New" w:hAnsi="Courier New" w:cs="Courier New" w:hint="default"/>
      </w:rPr>
    </w:lvl>
    <w:lvl w:ilvl="8" w:tplc="1B7A73DA"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8"/>
  </w:num>
  <w:num w:numId="6">
    <w:abstractNumId w:val="5"/>
  </w:num>
  <w:num w:numId="7">
    <w:abstractNumId w:val="7"/>
  </w:num>
  <w:num w:numId="8">
    <w:abstractNumId w:val="10"/>
  </w:num>
  <w:num w:numId="9">
    <w:abstractNumId w:val="6"/>
  </w:num>
  <w:num w:numId="10">
    <w:abstractNumId w:val="11"/>
  </w:num>
  <w:num w:numId="11">
    <w:abstractNumId w:val="0"/>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wNDAxtTQwtjQ1NjdX0lEKTi0uzszPAykwrQUAlgMLuCwAAAA="/>
  </w:docVars>
  <w:rsids>
    <w:rsidRoot w:val="00931FD1"/>
    <w:rsid w:val="000005F3"/>
    <w:rsid w:val="00076662"/>
    <w:rsid w:val="000949E1"/>
    <w:rsid w:val="000958B3"/>
    <w:rsid w:val="000A42D7"/>
    <w:rsid w:val="000B5092"/>
    <w:rsid w:val="000D2372"/>
    <w:rsid w:val="000D3A0C"/>
    <w:rsid w:val="000F6E02"/>
    <w:rsid w:val="001160DA"/>
    <w:rsid w:val="00124B38"/>
    <w:rsid w:val="00137397"/>
    <w:rsid w:val="0014663C"/>
    <w:rsid w:val="00155965"/>
    <w:rsid w:val="00166A88"/>
    <w:rsid w:val="0016714A"/>
    <w:rsid w:val="00172EE0"/>
    <w:rsid w:val="001810AB"/>
    <w:rsid w:val="00182BC9"/>
    <w:rsid w:val="00186D77"/>
    <w:rsid w:val="0019405D"/>
    <w:rsid w:val="001A38D2"/>
    <w:rsid w:val="001A464B"/>
    <w:rsid w:val="001C61F9"/>
    <w:rsid w:val="001E1F8D"/>
    <w:rsid w:val="001F7F11"/>
    <w:rsid w:val="00200D9C"/>
    <w:rsid w:val="00204301"/>
    <w:rsid w:val="00231A1B"/>
    <w:rsid w:val="0028526E"/>
    <w:rsid w:val="002879A5"/>
    <w:rsid w:val="002A5CE2"/>
    <w:rsid w:val="002D03BC"/>
    <w:rsid w:val="002D71C3"/>
    <w:rsid w:val="002E1507"/>
    <w:rsid w:val="002E2810"/>
    <w:rsid w:val="002E75D2"/>
    <w:rsid w:val="002F6C63"/>
    <w:rsid w:val="00301519"/>
    <w:rsid w:val="00305DAB"/>
    <w:rsid w:val="00312BD4"/>
    <w:rsid w:val="00363343"/>
    <w:rsid w:val="00376E15"/>
    <w:rsid w:val="003777DA"/>
    <w:rsid w:val="0039393A"/>
    <w:rsid w:val="003A1264"/>
    <w:rsid w:val="003E462A"/>
    <w:rsid w:val="00403FFE"/>
    <w:rsid w:val="0042600E"/>
    <w:rsid w:val="00445FA1"/>
    <w:rsid w:val="00461124"/>
    <w:rsid w:val="00461C8E"/>
    <w:rsid w:val="004B73C5"/>
    <w:rsid w:val="004C2754"/>
    <w:rsid w:val="004D2B0E"/>
    <w:rsid w:val="004E4F48"/>
    <w:rsid w:val="00502ED1"/>
    <w:rsid w:val="00514BA7"/>
    <w:rsid w:val="005202DD"/>
    <w:rsid w:val="00520ECC"/>
    <w:rsid w:val="00526DD2"/>
    <w:rsid w:val="00530A5D"/>
    <w:rsid w:val="00581103"/>
    <w:rsid w:val="00587B55"/>
    <w:rsid w:val="00594364"/>
    <w:rsid w:val="005A3EE6"/>
    <w:rsid w:val="005C11A6"/>
    <w:rsid w:val="005D3398"/>
    <w:rsid w:val="005D6396"/>
    <w:rsid w:val="005F5D6D"/>
    <w:rsid w:val="0060685C"/>
    <w:rsid w:val="0062240E"/>
    <w:rsid w:val="006358FB"/>
    <w:rsid w:val="00636897"/>
    <w:rsid w:val="00636C67"/>
    <w:rsid w:val="00642A10"/>
    <w:rsid w:val="00651FD0"/>
    <w:rsid w:val="00664B0A"/>
    <w:rsid w:val="00672C77"/>
    <w:rsid w:val="00673436"/>
    <w:rsid w:val="0067652B"/>
    <w:rsid w:val="006B7C4A"/>
    <w:rsid w:val="006C387E"/>
    <w:rsid w:val="006C6966"/>
    <w:rsid w:val="006C7916"/>
    <w:rsid w:val="006D1B79"/>
    <w:rsid w:val="006E57E2"/>
    <w:rsid w:val="00705953"/>
    <w:rsid w:val="00734892"/>
    <w:rsid w:val="00735B58"/>
    <w:rsid w:val="00736F5C"/>
    <w:rsid w:val="007474E2"/>
    <w:rsid w:val="0078607D"/>
    <w:rsid w:val="007A32F8"/>
    <w:rsid w:val="007A7A47"/>
    <w:rsid w:val="007C1B52"/>
    <w:rsid w:val="007C73B8"/>
    <w:rsid w:val="007D45F1"/>
    <w:rsid w:val="007E5A51"/>
    <w:rsid w:val="00804966"/>
    <w:rsid w:val="00810B05"/>
    <w:rsid w:val="008114EB"/>
    <w:rsid w:val="00826214"/>
    <w:rsid w:val="008436E6"/>
    <w:rsid w:val="00850DFC"/>
    <w:rsid w:val="00855F7A"/>
    <w:rsid w:val="008570B8"/>
    <w:rsid w:val="00870B71"/>
    <w:rsid w:val="00891E31"/>
    <w:rsid w:val="00893346"/>
    <w:rsid w:val="008A445B"/>
    <w:rsid w:val="008A6A6E"/>
    <w:rsid w:val="008B77B2"/>
    <w:rsid w:val="008C5191"/>
    <w:rsid w:val="008D2463"/>
    <w:rsid w:val="0091708F"/>
    <w:rsid w:val="009223C2"/>
    <w:rsid w:val="00925698"/>
    <w:rsid w:val="00931FD1"/>
    <w:rsid w:val="009352E2"/>
    <w:rsid w:val="00936FA8"/>
    <w:rsid w:val="009416B4"/>
    <w:rsid w:val="00952A84"/>
    <w:rsid w:val="009756D0"/>
    <w:rsid w:val="00976035"/>
    <w:rsid w:val="00984007"/>
    <w:rsid w:val="009858A2"/>
    <w:rsid w:val="0098769F"/>
    <w:rsid w:val="009959EB"/>
    <w:rsid w:val="009A1380"/>
    <w:rsid w:val="009A5F7F"/>
    <w:rsid w:val="009B1E67"/>
    <w:rsid w:val="009B4028"/>
    <w:rsid w:val="009C437B"/>
    <w:rsid w:val="009F729C"/>
    <w:rsid w:val="00A05FE3"/>
    <w:rsid w:val="00A16278"/>
    <w:rsid w:val="00A34EE9"/>
    <w:rsid w:val="00A36E8D"/>
    <w:rsid w:val="00A57248"/>
    <w:rsid w:val="00A57485"/>
    <w:rsid w:val="00A57649"/>
    <w:rsid w:val="00A63F92"/>
    <w:rsid w:val="00A67BCB"/>
    <w:rsid w:val="00AA68DC"/>
    <w:rsid w:val="00AF38CA"/>
    <w:rsid w:val="00B107CB"/>
    <w:rsid w:val="00B12C2E"/>
    <w:rsid w:val="00B25D5B"/>
    <w:rsid w:val="00B6491C"/>
    <w:rsid w:val="00B73410"/>
    <w:rsid w:val="00B81B4D"/>
    <w:rsid w:val="00B85B28"/>
    <w:rsid w:val="00B9607F"/>
    <w:rsid w:val="00B970F4"/>
    <w:rsid w:val="00BB2513"/>
    <w:rsid w:val="00BC0250"/>
    <w:rsid w:val="00BC0716"/>
    <w:rsid w:val="00BC2F61"/>
    <w:rsid w:val="00BC6C6F"/>
    <w:rsid w:val="00BD5166"/>
    <w:rsid w:val="00BD575E"/>
    <w:rsid w:val="00BF6909"/>
    <w:rsid w:val="00C17D52"/>
    <w:rsid w:val="00C204E0"/>
    <w:rsid w:val="00C24B68"/>
    <w:rsid w:val="00C30F1F"/>
    <w:rsid w:val="00C33403"/>
    <w:rsid w:val="00C34DAC"/>
    <w:rsid w:val="00C43538"/>
    <w:rsid w:val="00C44A71"/>
    <w:rsid w:val="00C567D5"/>
    <w:rsid w:val="00C64DE3"/>
    <w:rsid w:val="00C70B56"/>
    <w:rsid w:val="00C85854"/>
    <w:rsid w:val="00C87E41"/>
    <w:rsid w:val="00CC0C71"/>
    <w:rsid w:val="00CC50CD"/>
    <w:rsid w:val="00CC6122"/>
    <w:rsid w:val="00CC7019"/>
    <w:rsid w:val="00CE5FA5"/>
    <w:rsid w:val="00D01D89"/>
    <w:rsid w:val="00D15057"/>
    <w:rsid w:val="00D225F2"/>
    <w:rsid w:val="00D33921"/>
    <w:rsid w:val="00D34483"/>
    <w:rsid w:val="00D44BE3"/>
    <w:rsid w:val="00D62269"/>
    <w:rsid w:val="00D704F0"/>
    <w:rsid w:val="00D72AE7"/>
    <w:rsid w:val="00D85ECE"/>
    <w:rsid w:val="00D862BE"/>
    <w:rsid w:val="00DA52BE"/>
    <w:rsid w:val="00DA7110"/>
    <w:rsid w:val="00DB1904"/>
    <w:rsid w:val="00DC53F6"/>
    <w:rsid w:val="00DC6E8D"/>
    <w:rsid w:val="00DD5BC2"/>
    <w:rsid w:val="00DE75A6"/>
    <w:rsid w:val="00E059A9"/>
    <w:rsid w:val="00E205EB"/>
    <w:rsid w:val="00E23E8E"/>
    <w:rsid w:val="00E27159"/>
    <w:rsid w:val="00E43FDB"/>
    <w:rsid w:val="00E47118"/>
    <w:rsid w:val="00E727F7"/>
    <w:rsid w:val="00E84EBA"/>
    <w:rsid w:val="00E91A8F"/>
    <w:rsid w:val="00E91D3F"/>
    <w:rsid w:val="00EB1411"/>
    <w:rsid w:val="00EC54F5"/>
    <w:rsid w:val="00F1704D"/>
    <w:rsid w:val="00F237FF"/>
    <w:rsid w:val="00F23B88"/>
    <w:rsid w:val="00F27319"/>
    <w:rsid w:val="00F32228"/>
    <w:rsid w:val="00F460D8"/>
    <w:rsid w:val="00F6348C"/>
    <w:rsid w:val="00F71152"/>
    <w:rsid w:val="00F855C6"/>
    <w:rsid w:val="00F86164"/>
    <w:rsid w:val="00FB485D"/>
    <w:rsid w:val="00FC746C"/>
    <w:rsid w:val="00FE4D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572A1"/>
  <w15:docId w15:val="{4236109B-90A1-4E1F-9A14-712E5F21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1FD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FD1"/>
    <w:pPr>
      <w:tabs>
        <w:tab w:val="center" w:pos="4513"/>
        <w:tab w:val="right" w:pos="9026"/>
      </w:tabs>
    </w:pPr>
  </w:style>
  <w:style w:type="character" w:customStyle="1" w:styleId="HeaderChar">
    <w:name w:val="Header Char"/>
    <w:basedOn w:val="DefaultParagraphFont"/>
    <w:link w:val="Header"/>
    <w:uiPriority w:val="99"/>
    <w:rsid w:val="00931FD1"/>
  </w:style>
  <w:style w:type="paragraph" w:styleId="Footer">
    <w:name w:val="footer"/>
    <w:basedOn w:val="Normal"/>
    <w:link w:val="FooterChar"/>
    <w:uiPriority w:val="99"/>
    <w:unhideWhenUsed/>
    <w:rsid w:val="00931FD1"/>
    <w:pPr>
      <w:tabs>
        <w:tab w:val="center" w:pos="4513"/>
        <w:tab w:val="right" w:pos="9026"/>
      </w:tabs>
    </w:pPr>
  </w:style>
  <w:style w:type="character" w:customStyle="1" w:styleId="FooterChar">
    <w:name w:val="Footer Char"/>
    <w:basedOn w:val="DefaultParagraphFont"/>
    <w:link w:val="Footer"/>
    <w:uiPriority w:val="99"/>
    <w:rsid w:val="00931FD1"/>
  </w:style>
  <w:style w:type="character" w:customStyle="1" w:styleId="hps">
    <w:name w:val="hps"/>
    <w:basedOn w:val="DefaultParagraphFont"/>
    <w:rsid w:val="00931FD1"/>
  </w:style>
  <w:style w:type="character" w:customStyle="1" w:styleId="shorttext">
    <w:name w:val="short_text"/>
    <w:basedOn w:val="DefaultParagraphFont"/>
    <w:rsid w:val="00931FD1"/>
  </w:style>
  <w:style w:type="table" w:styleId="TableGrid">
    <w:name w:val="Table Grid"/>
    <w:basedOn w:val="TableNormal"/>
    <w:uiPriority w:val="39"/>
    <w:rsid w:val="00936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Char1,Char Char2,List Paragraph1,List Paragraph2,UGEX'Z,YEAH!,list paragraph,skirpsi,skripsi,spasi 2 taiiii"/>
    <w:basedOn w:val="Normal"/>
    <w:link w:val="ListParagraphChar"/>
    <w:qFormat/>
    <w:rsid w:val="002D03BC"/>
    <w:pPr>
      <w:widowControl/>
      <w:autoSpaceDE/>
      <w:autoSpaceDN/>
      <w:spacing w:after="160" w:line="259" w:lineRule="auto"/>
      <w:ind w:left="720"/>
      <w:contextualSpacing/>
    </w:pPr>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B1411"/>
    <w:rPr>
      <w:vertAlign w:val="superscript"/>
    </w:rPr>
  </w:style>
  <w:style w:type="character" w:customStyle="1" w:styleId="lrzxr">
    <w:name w:val="lrzxr"/>
    <w:basedOn w:val="DefaultParagraphFont"/>
    <w:rsid w:val="00DA52BE"/>
  </w:style>
  <w:style w:type="paragraph" w:styleId="FootnoteText">
    <w:name w:val="footnote text"/>
    <w:basedOn w:val="Normal"/>
    <w:link w:val="FootnoteTextChar"/>
    <w:uiPriority w:val="99"/>
    <w:unhideWhenUsed/>
    <w:rsid w:val="002D71C3"/>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D71C3"/>
    <w:rPr>
      <w:sz w:val="20"/>
      <w:szCs w:val="20"/>
    </w:rPr>
  </w:style>
  <w:style w:type="character" w:styleId="Hyperlink">
    <w:name w:val="Hyperlink"/>
    <w:basedOn w:val="DefaultParagraphFont"/>
    <w:uiPriority w:val="99"/>
    <w:unhideWhenUsed/>
    <w:rsid w:val="000F6E02"/>
    <w:rPr>
      <w:color w:val="0000FF" w:themeColor="hyperlink"/>
      <w:u w:val="single"/>
    </w:rPr>
  </w:style>
  <w:style w:type="paragraph" w:styleId="Bibliography">
    <w:name w:val="Bibliography"/>
    <w:basedOn w:val="Normal"/>
    <w:next w:val="Normal"/>
    <w:uiPriority w:val="37"/>
    <w:unhideWhenUsed/>
    <w:rsid w:val="000F6E02"/>
    <w:pPr>
      <w:widowControl/>
      <w:autoSpaceDE/>
      <w:autoSpaceDN/>
      <w:spacing w:after="160" w:line="259" w:lineRule="auto"/>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8B77B2"/>
    <w:rPr>
      <w:rFonts w:ascii="Tahoma" w:hAnsi="Tahoma" w:cs="Tahoma"/>
      <w:sz w:val="16"/>
      <w:szCs w:val="16"/>
    </w:rPr>
  </w:style>
  <w:style w:type="character" w:customStyle="1" w:styleId="BalloonTextChar">
    <w:name w:val="Balloon Text Char"/>
    <w:basedOn w:val="DefaultParagraphFont"/>
    <w:link w:val="BalloonText"/>
    <w:uiPriority w:val="99"/>
    <w:semiHidden/>
    <w:rsid w:val="008B77B2"/>
    <w:rPr>
      <w:rFonts w:ascii="Tahoma" w:eastAsia="Times New Roman" w:hAnsi="Tahoma" w:cs="Tahoma"/>
      <w:sz w:val="16"/>
      <w:szCs w:val="16"/>
    </w:rPr>
  </w:style>
  <w:style w:type="character" w:customStyle="1" w:styleId="ListParagraphChar">
    <w:name w:val="List Paragraph Char"/>
    <w:aliases w:val="Body Text Char1 Char,Char Char2 Char,List Paragraph1 Char,List Paragraph2 Char,UGEX'Z Char,YEAH! Char,list paragraph Char,skirpsi Char,skripsi Char,spasi 2 taiiii Char"/>
    <w:basedOn w:val="DefaultParagraphFont"/>
    <w:link w:val="ListParagraph"/>
    <w:locked/>
    <w:rsid w:val="00C64DE3"/>
  </w:style>
  <w:style w:type="character" w:styleId="Emphasis">
    <w:name w:val="Emphasis"/>
    <w:basedOn w:val="DefaultParagraphFont"/>
    <w:uiPriority w:val="20"/>
    <w:qFormat/>
    <w:rsid w:val="00DB1904"/>
    <w:rPr>
      <w:i/>
      <w:iCs/>
    </w:rPr>
  </w:style>
  <w:style w:type="paragraph" w:customStyle="1" w:styleId="E-JOURNALTitle">
    <w:name w:val="E-JOURNAL_Title"/>
    <w:basedOn w:val="Normal"/>
    <w:qFormat/>
    <w:rsid w:val="00BC0250"/>
    <w:pPr>
      <w:widowControl/>
      <w:autoSpaceDE/>
      <w:autoSpaceDN/>
      <w:ind w:firstLine="567"/>
      <w:jc w:val="center"/>
    </w:pPr>
    <w:rPr>
      <w:b/>
    </w:rPr>
  </w:style>
  <w:style w:type="paragraph" w:customStyle="1" w:styleId="IdentitasInstitusiPenulis">
    <w:name w:val="Identitas Institusi Penulis"/>
    <w:basedOn w:val="Normal"/>
    <w:qFormat/>
    <w:rsid w:val="00BC0250"/>
    <w:pPr>
      <w:widowControl/>
      <w:autoSpaceDE/>
      <w:autoSpaceDN/>
      <w:jc w:val="center"/>
    </w:pPr>
    <w:rPr>
      <w:rFonts w:eastAsia="Calibri"/>
      <w:sz w:val="20"/>
      <w:lang w:val="en-US"/>
    </w:rPr>
  </w:style>
  <w:style w:type="paragraph" w:customStyle="1" w:styleId="E-JOURNALBody">
    <w:name w:val="E-JOURNAL_Body"/>
    <w:basedOn w:val="Normal"/>
    <w:qFormat/>
    <w:rsid w:val="00E727F7"/>
    <w:pPr>
      <w:widowControl/>
      <w:autoSpaceDE/>
      <w:autoSpaceDN/>
      <w:ind w:firstLine="567"/>
      <w:jc w:val="both"/>
    </w:pPr>
    <w:rPr>
      <w:szCs w:val="24"/>
    </w:rPr>
  </w:style>
  <w:style w:type="character" w:customStyle="1" w:styleId="mord">
    <w:name w:val="mord"/>
    <w:basedOn w:val="DefaultParagraphFont"/>
    <w:rsid w:val="00166A88"/>
  </w:style>
  <w:style w:type="character" w:customStyle="1" w:styleId="mrel">
    <w:name w:val="mrel"/>
    <w:basedOn w:val="DefaultParagraphFont"/>
    <w:rsid w:val="00166A88"/>
  </w:style>
  <w:style w:type="character" w:customStyle="1" w:styleId="vlist-s">
    <w:name w:val="vlist-s"/>
    <w:basedOn w:val="DefaultParagraphFont"/>
    <w:rsid w:val="00166A88"/>
  </w:style>
  <w:style w:type="character" w:customStyle="1" w:styleId="mbin">
    <w:name w:val="mbin"/>
    <w:basedOn w:val="DefaultParagraphFont"/>
    <w:rsid w:val="00166A88"/>
  </w:style>
  <w:style w:type="paragraph" w:styleId="NormalWeb">
    <w:name w:val="Normal (Web)"/>
    <w:basedOn w:val="Normal"/>
    <w:uiPriority w:val="99"/>
    <w:semiHidden/>
    <w:unhideWhenUsed/>
    <w:rsid w:val="00166A88"/>
    <w:pPr>
      <w:widowControl/>
      <w:autoSpaceDE/>
      <w:autoSpaceDN/>
      <w:spacing w:before="100" w:beforeAutospacing="1" w:after="100" w:afterAutospacing="1"/>
    </w:pPr>
    <w:rPr>
      <w:sz w:val="24"/>
      <w:szCs w:val="24"/>
      <w:lang w:val="en-ID" w:eastAsia="en-ID"/>
    </w:rPr>
  </w:style>
  <w:style w:type="character" w:customStyle="1" w:styleId="mop">
    <w:name w:val="mop"/>
    <w:basedOn w:val="DefaultParagraphFont"/>
    <w:rsid w:val="00166A88"/>
  </w:style>
  <w:style w:type="character" w:customStyle="1" w:styleId="mopen">
    <w:name w:val="mopen"/>
    <w:basedOn w:val="DefaultParagraphFont"/>
    <w:rsid w:val="00166A88"/>
  </w:style>
  <w:style w:type="character" w:customStyle="1" w:styleId="mclose">
    <w:name w:val="mclose"/>
    <w:basedOn w:val="DefaultParagraphFont"/>
    <w:rsid w:val="00166A88"/>
  </w:style>
  <w:style w:type="paragraph" w:styleId="HTMLPreformatted">
    <w:name w:val="HTML Preformatted"/>
    <w:basedOn w:val="Normal"/>
    <w:link w:val="HTMLPreformattedChar"/>
    <w:uiPriority w:val="99"/>
    <w:semiHidden/>
    <w:unhideWhenUsed/>
    <w:rsid w:val="006C387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C387E"/>
    <w:rPr>
      <w:rFonts w:ascii="Consolas" w:eastAsia="Times New Roman" w:hAnsi="Consolas" w:cs="Times New Roman"/>
      <w:sz w:val="20"/>
      <w:szCs w:val="20"/>
    </w:rPr>
  </w:style>
  <w:style w:type="character" w:styleId="CommentReference">
    <w:name w:val="annotation reference"/>
    <w:basedOn w:val="DefaultParagraphFont"/>
    <w:uiPriority w:val="99"/>
    <w:semiHidden/>
    <w:unhideWhenUsed/>
    <w:rsid w:val="00FC746C"/>
    <w:rPr>
      <w:sz w:val="16"/>
      <w:szCs w:val="16"/>
    </w:rPr>
  </w:style>
  <w:style w:type="paragraph" w:styleId="CommentText">
    <w:name w:val="annotation text"/>
    <w:basedOn w:val="Normal"/>
    <w:link w:val="CommentTextChar"/>
    <w:uiPriority w:val="99"/>
    <w:semiHidden/>
    <w:unhideWhenUsed/>
    <w:rsid w:val="00FC746C"/>
    <w:rPr>
      <w:sz w:val="20"/>
      <w:szCs w:val="20"/>
    </w:rPr>
  </w:style>
  <w:style w:type="character" w:customStyle="1" w:styleId="CommentTextChar">
    <w:name w:val="Comment Text Char"/>
    <w:basedOn w:val="DefaultParagraphFont"/>
    <w:link w:val="CommentText"/>
    <w:uiPriority w:val="99"/>
    <w:semiHidden/>
    <w:rsid w:val="00FC74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746C"/>
    <w:rPr>
      <w:b/>
      <w:bCs/>
    </w:rPr>
  </w:style>
  <w:style w:type="character" w:customStyle="1" w:styleId="CommentSubjectChar">
    <w:name w:val="Comment Subject Char"/>
    <w:basedOn w:val="CommentTextChar"/>
    <w:link w:val="CommentSubject"/>
    <w:uiPriority w:val="99"/>
    <w:semiHidden/>
    <w:rsid w:val="00FC746C"/>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85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63730">
      <w:bodyDiv w:val="1"/>
      <w:marLeft w:val="0"/>
      <w:marRight w:val="0"/>
      <w:marTop w:val="0"/>
      <w:marBottom w:val="0"/>
      <w:divBdr>
        <w:top w:val="none" w:sz="0" w:space="0" w:color="auto"/>
        <w:left w:val="none" w:sz="0" w:space="0" w:color="auto"/>
        <w:bottom w:val="none" w:sz="0" w:space="0" w:color="auto"/>
        <w:right w:val="none" w:sz="0" w:space="0" w:color="auto"/>
      </w:divBdr>
    </w:div>
    <w:div w:id="167923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rajulianajaya@uin-malang.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B1F63-1391-4274-9CCE-807710C1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12620</Words>
  <Characters>73830</Characters>
  <Application>Microsoft Office Word</Application>
  <DocSecurity>0</DocSecurity>
  <Lines>2171</Lines>
  <Paragraphs>1108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Suseno Hendratmoko</cp:lastModifiedBy>
  <cp:revision>11</cp:revision>
  <dcterms:created xsi:type="dcterms:W3CDTF">2025-01-23T05:40:00Z</dcterms:created>
  <dcterms:modified xsi:type="dcterms:W3CDTF">2025-04-24T03:00:00Z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128d88711dbb783e89c575510c65e87e252dabda4532bb3995145b0c61261d8c</vt:lpwstr>
  </property>
  <property fmtid="{D5CDD505-2E9C-101B-9397-08002B2CF9AE}" pid="3" name="Mendeley Citation Style_1">
    <vt:lpwstr>http://csl.mendeley.com/styles/687069811/apa-3</vt:lpwstr>
  </property>
  <property fmtid="{D5CDD505-2E9C-101B-9397-08002B2CF9AE}" pid="4" name="Mendeley Document_1">
    <vt:lpwstr>True</vt:lpwstr>
  </property>
  <property fmtid="{D5CDD505-2E9C-101B-9397-08002B2CF9AE}" pid="5" name="Mendeley Recent Style Id 0_1">
    <vt:lpwstr>http://www.zotero.org/styles/apa</vt:lpwstr>
  </property>
  <property fmtid="{D5CDD505-2E9C-101B-9397-08002B2CF9AE}" pid="6" name="Mendeley Recent Style Id 1_1">
    <vt:lpwstr>http://csl.mendeley.com/styles/687069811/apa-3</vt:lpwstr>
  </property>
  <property fmtid="{D5CDD505-2E9C-101B-9397-08002B2CF9AE}" pid="7" name="Mendeley Recent Style Id 2_1">
    <vt:lpwstr>http://www.zotero.org/styles/american-sociological-association</vt:lpwstr>
  </property>
  <property fmtid="{D5CDD505-2E9C-101B-9397-08002B2CF9AE}" pid="8" name="Mendeley Recent Style Id 3_1">
    <vt:lpwstr>http://www.zotero.org/styles/chicago-author-date</vt:lpwstr>
  </property>
  <property fmtid="{D5CDD505-2E9C-101B-9397-08002B2CF9AE}" pid="9" name="Mendeley Recent Style Id 4_1">
    <vt:lpwstr>http://www.zotero.org/styles/chicago-fullnote-bibliography</vt:lpwstr>
  </property>
  <property fmtid="{D5CDD505-2E9C-101B-9397-08002B2CF9AE}" pid="10" name="Mendeley Recent Style Id 5_1">
    <vt:lpwstr>http://www.zotero.org/styles/chicago-note-bibliography</vt:lpwstr>
  </property>
  <property fmtid="{D5CDD505-2E9C-101B-9397-08002B2CF9AE}" pid="11" name="Mendeley Recent Style Id 6_1">
    <vt:lpwstr>http://www.zotero.org/styles/harvard-cite-them-right</vt:lpwstr>
  </property>
  <property fmtid="{D5CDD505-2E9C-101B-9397-08002B2CF9AE}" pid="12" name="Mendeley Recent Style Id 7_1">
    <vt:lpwstr>http://www.zotero.org/styles/ieee</vt:lpwstr>
  </property>
  <property fmtid="{D5CDD505-2E9C-101B-9397-08002B2CF9AE}" pid="13" name="Mendeley Recent Style Id 8_1">
    <vt:lpwstr>http://www.zotero.org/styles/nature</vt:lpwstr>
  </property>
  <property fmtid="{D5CDD505-2E9C-101B-9397-08002B2CF9AE}" pid="14" name="Mendeley Recent Style Id 9_1">
    <vt:lpwstr>http://www.zotero.org/styles/turabian-fullnote-bibliography-8th-edition</vt:lpwstr>
  </property>
  <property fmtid="{D5CDD505-2E9C-101B-9397-08002B2CF9AE}" pid="15" name="Mendeley Recent Style Name 0_1">
    <vt:lpwstr>American Psychological Association 7th edition</vt:lpwstr>
  </property>
  <property fmtid="{D5CDD505-2E9C-101B-9397-08002B2CF9AE}" pid="16" name="Mendeley Recent Style Name 1_1">
    <vt:lpwstr>American Psychological Association 7th edition - pranata</vt:lpwstr>
  </property>
  <property fmtid="{D5CDD505-2E9C-101B-9397-08002B2CF9AE}" pid="17" name="Mendeley Recent Style Name 2_1">
    <vt:lpwstr>American Sociological Association 6th edition</vt:lpwstr>
  </property>
  <property fmtid="{D5CDD505-2E9C-101B-9397-08002B2CF9AE}" pid="18" name="Mendeley Recent Style Name 3_1">
    <vt:lpwstr>Chicago Manual of Style 17th edition (author-date)</vt:lpwstr>
  </property>
  <property fmtid="{D5CDD505-2E9C-101B-9397-08002B2CF9AE}" pid="19" name="Mendeley Recent Style Name 4_1">
    <vt:lpwstr>Chicago Manual of Style 17th edition (full note)</vt:lpwstr>
  </property>
  <property fmtid="{D5CDD505-2E9C-101B-9397-08002B2CF9AE}" pid="20" name="Mendeley Recent Style Name 5_1">
    <vt:lpwstr>Chicago Manual of Style 17th edition (note)</vt:lpwstr>
  </property>
  <property fmtid="{D5CDD505-2E9C-101B-9397-08002B2CF9AE}" pid="21" name="Mendeley Recent Style Name 6_1">
    <vt:lpwstr>Cite Them Right 12th edition - Harvard</vt:lpwstr>
  </property>
  <property fmtid="{D5CDD505-2E9C-101B-9397-08002B2CF9AE}" pid="22" name="Mendeley Recent Style Name 7_1">
    <vt:lpwstr>IEEE</vt:lpwstr>
  </property>
  <property fmtid="{D5CDD505-2E9C-101B-9397-08002B2CF9AE}" pid="23" name="Mendeley Recent Style Name 8_1">
    <vt:lpwstr>Nature</vt:lpwstr>
  </property>
  <property fmtid="{D5CDD505-2E9C-101B-9397-08002B2CF9AE}" pid="24" name="Mendeley Recent Style Name 9_1">
    <vt:lpwstr>Turabian 8th edition (full note)</vt:lpwstr>
  </property>
  <property fmtid="{D5CDD505-2E9C-101B-9397-08002B2CF9AE}" pid="25" name="Mendeley Unique User Id_1">
    <vt:lpwstr>3bfd65e8-d3c2-3797-801e-21fa78ba090b</vt:lpwstr>
  </property>
</Properties>
</file>